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58" w:rsidRDefault="00CD7358" w:rsidP="000D2568">
      <w:pPr>
        <w:jc w:val="center"/>
        <w:rPr>
          <w:b/>
          <w:sz w:val="28"/>
        </w:rPr>
      </w:pPr>
    </w:p>
    <w:p w:rsidR="000D2568" w:rsidRDefault="0090298E" w:rsidP="000D2568">
      <w:pPr>
        <w:jc w:val="center"/>
        <w:rPr>
          <w:b/>
          <w:sz w:val="28"/>
        </w:rPr>
      </w:pPr>
      <w:r>
        <w:rPr>
          <w:b/>
          <w:sz w:val="28"/>
        </w:rPr>
        <w:t>KYPE MUIR</w:t>
      </w:r>
      <w:r w:rsidR="00AF76BC">
        <w:rPr>
          <w:b/>
          <w:sz w:val="28"/>
        </w:rPr>
        <w:t xml:space="preserve"> WIND FARM</w:t>
      </w:r>
    </w:p>
    <w:p w:rsidR="008634E5" w:rsidRDefault="00DB77CE" w:rsidP="000D2568">
      <w:pPr>
        <w:jc w:val="center"/>
        <w:rPr>
          <w:b/>
        </w:rPr>
      </w:pPr>
      <w:r>
        <w:rPr>
          <w:b/>
        </w:rPr>
        <w:t>I</w:t>
      </w:r>
      <w:r w:rsidR="00CD7358">
        <w:rPr>
          <w:b/>
        </w:rPr>
        <w:t xml:space="preserve">nformation in relation to </w:t>
      </w:r>
      <w:r w:rsidR="00930498">
        <w:rPr>
          <w:b/>
        </w:rPr>
        <w:t>C</w:t>
      </w:r>
      <w:r w:rsidR="00CD7358">
        <w:rPr>
          <w:b/>
        </w:rPr>
        <w:t>ommunity Benefits</w:t>
      </w:r>
      <w:r w:rsidR="008634E5">
        <w:rPr>
          <w:b/>
        </w:rPr>
        <w:t xml:space="preserve"> and proposals for the </w:t>
      </w:r>
    </w:p>
    <w:p w:rsidR="000D2568" w:rsidRPr="00F21498" w:rsidRDefault="008634E5" w:rsidP="000D2568">
      <w:pPr>
        <w:jc w:val="center"/>
        <w:rPr>
          <w:b/>
        </w:rPr>
      </w:pPr>
      <w:proofErr w:type="gramStart"/>
      <w:r>
        <w:rPr>
          <w:b/>
        </w:rPr>
        <w:t>formation</w:t>
      </w:r>
      <w:proofErr w:type="gramEnd"/>
      <w:r>
        <w:rPr>
          <w:b/>
        </w:rPr>
        <w:t xml:space="preserve"> of the Kype Muir Community Partnership</w:t>
      </w:r>
    </w:p>
    <w:p w:rsidR="000D2568" w:rsidRPr="000C0443" w:rsidRDefault="0090298E" w:rsidP="000C0443">
      <w:pPr>
        <w:jc w:val="center"/>
      </w:pPr>
      <w:r>
        <w:t>RE/S</w:t>
      </w:r>
      <w:r w:rsidR="00930498">
        <w:t>/</w:t>
      </w:r>
      <w:r w:rsidR="002A3137">
        <w:t>713</w:t>
      </w:r>
      <w:r>
        <w:t>/</w:t>
      </w:r>
      <w:r w:rsidR="00930498">
        <w:t>PM1</w:t>
      </w:r>
    </w:p>
    <w:p w:rsidR="008E61C2" w:rsidRPr="002140E8" w:rsidRDefault="008E61C2" w:rsidP="002A4C9A">
      <w:pPr>
        <w:numPr>
          <w:ilvl w:val="0"/>
          <w:numId w:val="1"/>
        </w:numPr>
        <w:spacing w:before="240"/>
        <w:jc w:val="both"/>
        <w:rPr>
          <w:b/>
        </w:rPr>
      </w:pPr>
      <w:r w:rsidRPr="002140E8">
        <w:rPr>
          <w:b/>
        </w:rPr>
        <w:t>Introduction</w:t>
      </w:r>
    </w:p>
    <w:p w:rsidR="0090298E" w:rsidRDefault="003F3D86" w:rsidP="008E61C2">
      <w:pPr>
        <w:numPr>
          <w:ilvl w:val="1"/>
          <w:numId w:val="1"/>
        </w:numPr>
        <w:spacing w:before="240"/>
        <w:jc w:val="both"/>
      </w:pPr>
      <w:r>
        <w:t xml:space="preserve">This note provides additional information </w:t>
      </w:r>
      <w:r w:rsidR="0090298E">
        <w:t>on how Banks Renewables sees the Community Partnership funding from the operation of Kype Muir Wind Farm being delivered into the surrounding communities.</w:t>
      </w:r>
    </w:p>
    <w:p w:rsidR="002A4C9A" w:rsidRDefault="0090298E" w:rsidP="008E61C2">
      <w:pPr>
        <w:numPr>
          <w:ilvl w:val="1"/>
          <w:numId w:val="1"/>
        </w:numPr>
        <w:spacing w:before="240"/>
        <w:jc w:val="both"/>
      </w:pPr>
      <w:r>
        <w:t>It also consider</w:t>
      </w:r>
      <w:r w:rsidR="00DB77CE">
        <w:t>s</w:t>
      </w:r>
      <w:r>
        <w:t xml:space="preserve"> the relationship with the South Lanarkshire Renewable Energy Fund (the “REF”). </w:t>
      </w:r>
    </w:p>
    <w:p w:rsidR="00A952CD" w:rsidRDefault="00B815D8" w:rsidP="008E61C2">
      <w:pPr>
        <w:numPr>
          <w:ilvl w:val="1"/>
          <w:numId w:val="1"/>
        </w:numPr>
        <w:spacing w:before="240"/>
        <w:jc w:val="both"/>
      </w:pPr>
      <w:r>
        <w:t xml:space="preserve">This is a draft framework for discussion and agreement with </w:t>
      </w:r>
      <w:r w:rsidR="00166E7B">
        <w:t>the Communities (Strathaven, Stonehouse, Lesmahagow and Sandford Upper Avondale), S</w:t>
      </w:r>
      <w:r w:rsidR="007D2915">
        <w:t xml:space="preserve">outh </w:t>
      </w:r>
      <w:r w:rsidR="00166E7B">
        <w:t>L</w:t>
      </w:r>
      <w:r w:rsidR="007D2915">
        <w:t xml:space="preserve">anarkshire </w:t>
      </w:r>
      <w:r w:rsidR="00166E7B">
        <w:t>C</w:t>
      </w:r>
      <w:r w:rsidR="007D2915">
        <w:t>ouncil (SLC)</w:t>
      </w:r>
      <w:r w:rsidR="00166E7B">
        <w:t xml:space="preserve"> and Banks Renewables</w:t>
      </w:r>
      <w:r w:rsidR="007D2915">
        <w:t xml:space="preserve"> (Kype Muir Wind Farm Ltd)</w:t>
      </w:r>
      <w:r w:rsidR="00166E7B">
        <w:t>.</w:t>
      </w:r>
    </w:p>
    <w:p w:rsidR="008E61C2" w:rsidRPr="002140E8" w:rsidRDefault="00166E7B" w:rsidP="002A4C9A">
      <w:pPr>
        <w:numPr>
          <w:ilvl w:val="0"/>
          <w:numId w:val="1"/>
        </w:numPr>
        <w:spacing w:before="240"/>
        <w:jc w:val="both"/>
        <w:rPr>
          <w:b/>
        </w:rPr>
      </w:pPr>
      <w:r>
        <w:rPr>
          <w:b/>
        </w:rPr>
        <w:t>Kype Muir</w:t>
      </w:r>
      <w:r w:rsidR="005752A2" w:rsidRPr="002140E8">
        <w:rPr>
          <w:b/>
        </w:rPr>
        <w:t xml:space="preserve"> Wind Farm </w:t>
      </w:r>
      <w:r w:rsidR="008E61C2" w:rsidRPr="002140E8">
        <w:rPr>
          <w:b/>
        </w:rPr>
        <w:t>Community Partner</w:t>
      </w:r>
      <w:r w:rsidR="005752A2" w:rsidRPr="002140E8">
        <w:rPr>
          <w:b/>
        </w:rPr>
        <w:t>ship: Community Funding</w:t>
      </w:r>
    </w:p>
    <w:p w:rsidR="009F523F" w:rsidRDefault="009F523F" w:rsidP="008E61C2">
      <w:pPr>
        <w:numPr>
          <w:ilvl w:val="1"/>
          <w:numId w:val="1"/>
        </w:numPr>
        <w:spacing w:before="240"/>
        <w:jc w:val="both"/>
      </w:pPr>
      <w:r>
        <w:t xml:space="preserve">The </w:t>
      </w:r>
      <w:r w:rsidR="00241D1D">
        <w:t xml:space="preserve">Kype Muir Community </w:t>
      </w:r>
      <w:r w:rsidR="005752A2">
        <w:t>Partnership is supported by the following financial commitments</w:t>
      </w:r>
      <w:r>
        <w:t>;</w:t>
      </w:r>
    </w:p>
    <w:p w:rsidR="009F523F" w:rsidRDefault="009F523F" w:rsidP="008E61C2">
      <w:pPr>
        <w:numPr>
          <w:ilvl w:val="2"/>
          <w:numId w:val="1"/>
        </w:numPr>
        <w:spacing w:before="240"/>
        <w:jc w:val="both"/>
      </w:pPr>
      <w:r>
        <w:t>T</w:t>
      </w:r>
      <w:r w:rsidR="005752A2">
        <w:t>otal c</w:t>
      </w:r>
      <w:r w:rsidR="00166E7B">
        <w:t>ontribution of 1</w:t>
      </w:r>
      <w:r>
        <w:t xml:space="preserve">.5% of the gross </w:t>
      </w:r>
      <w:r w:rsidR="005752A2">
        <w:t xml:space="preserve">annual </w:t>
      </w:r>
      <w:r>
        <w:t>revenue generated by the wind farm.</w:t>
      </w:r>
    </w:p>
    <w:p w:rsidR="009F523F" w:rsidRDefault="009F523F" w:rsidP="008E61C2">
      <w:pPr>
        <w:numPr>
          <w:ilvl w:val="2"/>
          <w:numId w:val="1"/>
        </w:numPr>
        <w:spacing w:before="240"/>
        <w:jc w:val="both"/>
      </w:pPr>
      <w:r>
        <w:t xml:space="preserve">Underwritten by a </w:t>
      </w:r>
      <w:r w:rsidR="002F6CA2">
        <w:t>Gu</w:t>
      </w:r>
      <w:r>
        <w:t xml:space="preserve">aranteed </w:t>
      </w:r>
      <w:r w:rsidR="0010476E">
        <w:t>Minimum</w:t>
      </w:r>
      <w:r w:rsidR="002F6CA2">
        <w:t xml:space="preserve"> Payment, based on £</w:t>
      </w:r>
      <w:r w:rsidR="001116F6">
        <w:t>5</w:t>
      </w:r>
      <w:r w:rsidR="0082656F">
        <w:t>,000 per megawatt installed</w:t>
      </w:r>
      <w:r w:rsidR="0089698D">
        <w:t xml:space="preserve"> (index linked)</w:t>
      </w:r>
      <w:r>
        <w:t>.</w:t>
      </w:r>
    </w:p>
    <w:p w:rsidR="00B13F8D" w:rsidRDefault="009F523F" w:rsidP="00B13F8D">
      <w:pPr>
        <w:numPr>
          <w:ilvl w:val="1"/>
          <w:numId w:val="1"/>
        </w:numPr>
        <w:spacing w:before="240"/>
        <w:jc w:val="both"/>
      </w:pPr>
      <w:r>
        <w:t xml:space="preserve">The </w:t>
      </w:r>
      <w:r w:rsidR="00F626E9">
        <w:t xml:space="preserve">expected community funding resulting from the above commitment is shown in </w:t>
      </w:r>
      <w:r w:rsidR="007C2520">
        <w:t>Table 1 below</w:t>
      </w:r>
      <w:r>
        <w:t>.</w:t>
      </w:r>
    </w:p>
    <w:p w:rsidR="00B13F8D" w:rsidRDefault="00B13F8D" w:rsidP="00B13F8D">
      <w:pPr>
        <w:ind w:left="1440"/>
        <w:jc w:val="both"/>
      </w:pPr>
    </w:p>
    <w:p w:rsidR="00B13F8D" w:rsidRDefault="00644B4A" w:rsidP="00B13F8D">
      <w:pPr>
        <w:jc w:val="both"/>
        <w:rPr>
          <w:b/>
        </w:rPr>
      </w:pPr>
      <w:r w:rsidRPr="00E92354">
        <w:rPr>
          <w:b/>
        </w:rPr>
        <w:t>Table</w:t>
      </w:r>
      <w:r w:rsidR="007C2520" w:rsidRPr="00E92354">
        <w:rPr>
          <w:b/>
        </w:rPr>
        <w:t xml:space="preserve"> 1</w:t>
      </w:r>
      <w:r w:rsidRPr="00E92354">
        <w:rPr>
          <w:b/>
        </w:rPr>
        <w:t xml:space="preserve"> – </w:t>
      </w:r>
      <w:r w:rsidR="00F626E9">
        <w:rPr>
          <w:b/>
        </w:rPr>
        <w:t>Community Funding</w:t>
      </w:r>
    </w:p>
    <w:p w:rsidR="00B13F8D" w:rsidRPr="00B13F8D" w:rsidRDefault="00B13F8D" w:rsidP="00B13F8D">
      <w:pPr>
        <w:jc w:val="both"/>
        <w:rPr>
          <w:b/>
        </w:rPr>
      </w:pPr>
    </w:p>
    <w:tbl>
      <w:tblPr>
        <w:tblW w:w="9452" w:type="dxa"/>
        <w:jc w:val="center"/>
        <w:tblInd w:w="61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1134"/>
        <w:gridCol w:w="1701"/>
        <w:gridCol w:w="2127"/>
        <w:gridCol w:w="2268"/>
        <w:gridCol w:w="2222"/>
      </w:tblGrid>
      <w:tr w:rsidR="005260D7" w:rsidRPr="007C2520" w:rsidTr="002F6CA2">
        <w:trPr>
          <w:trHeight w:val="629"/>
          <w:jc w:val="center"/>
        </w:trPr>
        <w:tc>
          <w:tcPr>
            <w:tcW w:w="1134" w:type="dxa"/>
            <w:shd w:val="clear" w:color="auto" w:fill="D9D9D9" w:themeFill="background1" w:themeFillShade="D9"/>
            <w:vAlign w:val="center"/>
            <w:hideMark/>
          </w:tcPr>
          <w:p w:rsidR="005260D7" w:rsidRPr="007C2520" w:rsidRDefault="005260D7" w:rsidP="00F626E9">
            <w:pPr>
              <w:jc w:val="center"/>
              <w:rPr>
                <w:rFonts w:ascii="Calibri" w:hAnsi="Calibri" w:cs="Times New Roman"/>
                <w:b/>
                <w:bCs/>
                <w:color w:val="000000"/>
                <w:sz w:val="24"/>
                <w:lang w:eastAsia="en-GB"/>
              </w:rPr>
            </w:pPr>
            <w:r>
              <w:rPr>
                <w:rFonts w:ascii="Calibri" w:hAnsi="Calibri" w:cs="Times New Roman"/>
                <w:b/>
                <w:bCs/>
                <w:color w:val="000000"/>
                <w:sz w:val="24"/>
                <w:lang w:eastAsia="en-GB"/>
              </w:rPr>
              <w:t>Installed Capacity</w:t>
            </w:r>
          </w:p>
        </w:tc>
        <w:tc>
          <w:tcPr>
            <w:tcW w:w="1701" w:type="dxa"/>
            <w:shd w:val="clear" w:color="auto" w:fill="D9D9D9" w:themeFill="background1" w:themeFillShade="D9"/>
            <w:vAlign w:val="center"/>
            <w:hideMark/>
          </w:tcPr>
          <w:p w:rsidR="005260D7" w:rsidRPr="007C2520" w:rsidRDefault="005260D7" w:rsidP="00166E7B">
            <w:pPr>
              <w:jc w:val="center"/>
              <w:rPr>
                <w:rFonts w:ascii="Calibri" w:hAnsi="Calibri" w:cs="Times New Roman"/>
                <w:b/>
                <w:bCs/>
                <w:color w:val="000000"/>
                <w:szCs w:val="22"/>
                <w:lang w:eastAsia="en-GB"/>
              </w:rPr>
            </w:pPr>
            <w:r w:rsidRPr="007C2520">
              <w:rPr>
                <w:rFonts w:ascii="Calibri" w:hAnsi="Calibri" w:cs="Times New Roman"/>
                <w:b/>
                <w:bCs/>
                <w:color w:val="000000"/>
                <w:szCs w:val="22"/>
                <w:lang w:eastAsia="en-GB"/>
              </w:rPr>
              <w:t xml:space="preserve">Lifecycle </w:t>
            </w:r>
            <w:r w:rsidR="00166E7B">
              <w:rPr>
                <w:rFonts w:ascii="Calibri" w:hAnsi="Calibri" w:cs="Times New Roman"/>
                <w:b/>
                <w:bCs/>
                <w:color w:val="000000"/>
                <w:szCs w:val="22"/>
                <w:lang w:eastAsia="en-GB"/>
              </w:rPr>
              <w:t>1</w:t>
            </w:r>
            <w:r w:rsidRPr="007C2520">
              <w:rPr>
                <w:rFonts w:ascii="Calibri" w:hAnsi="Calibri" w:cs="Times New Roman"/>
                <w:b/>
                <w:bCs/>
                <w:color w:val="000000"/>
                <w:szCs w:val="22"/>
                <w:lang w:eastAsia="en-GB"/>
              </w:rPr>
              <w:t>.5% gross revenue</w:t>
            </w:r>
            <w:r>
              <w:rPr>
                <w:rFonts w:ascii="Calibri" w:hAnsi="Calibri" w:cs="Times New Roman"/>
                <w:b/>
                <w:bCs/>
                <w:color w:val="000000"/>
                <w:szCs w:val="22"/>
                <w:lang w:eastAsia="en-GB"/>
              </w:rPr>
              <w:t>*</w:t>
            </w:r>
          </w:p>
        </w:tc>
        <w:tc>
          <w:tcPr>
            <w:tcW w:w="2127" w:type="dxa"/>
            <w:shd w:val="clear" w:color="auto" w:fill="D9D9D9" w:themeFill="background1" w:themeFillShade="D9"/>
            <w:vAlign w:val="center"/>
            <w:hideMark/>
          </w:tcPr>
          <w:p w:rsidR="005260D7" w:rsidRPr="007C2520" w:rsidRDefault="005260D7" w:rsidP="00166E7B">
            <w:pPr>
              <w:jc w:val="center"/>
              <w:rPr>
                <w:rFonts w:ascii="Calibri" w:hAnsi="Calibri" w:cs="Times New Roman"/>
                <w:b/>
                <w:bCs/>
                <w:color w:val="000000"/>
                <w:szCs w:val="22"/>
                <w:lang w:eastAsia="en-GB"/>
              </w:rPr>
            </w:pPr>
            <w:r w:rsidRPr="007C2520">
              <w:rPr>
                <w:rFonts w:ascii="Calibri" w:hAnsi="Calibri" w:cs="Times New Roman"/>
                <w:b/>
                <w:bCs/>
                <w:color w:val="000000"/>
                <w:szCs w:val="22"/>
                <w:lang w:eastAsia="en-GB"/>
              </w:rPr>
              <w:t xml:space="preserve">Annual Average of </w:t>
            </w:r>
            <w:r w:rsidR="00166E7B">
              <w:rPr>
                <w:rFonts w:ascii="Calibri" w:hAnsi="Calibri" w:cs="Times New Roman"/>
                <w:b/>
                <w:bCs/>
                <w:color w:val="000000"/>
                <w:szCs w:val="22"/>
                <w:lang w:eastAsia="en-GB"/>
              </w:rPr>
              <w:t>1</w:t>
            </w:r>
            <w:r w:rsidRPr="007C2520">
              <w:rPr>
                <w:rFonts w:ascii="Calibri" w:hAnsi="Calibri" w:cs="Times New Roman"/>
                <w:b/>
                <w:bCs/>
                <w:color w:val="000000"/>
                <w:szCs w:val="22"/>
                <w:lang w:eastAsia="en-GB"/>
              </w:rPr>
              <w:t>.5% gross revenue</w:t>
            </w:r>
            <w:r>
              <w:rPr>
                <w:rFonts w:ascii="Calibri" w:hAnsi="Calibri" w:cs="Times New Roman"/>
                <w:b/>
                <w:bCs/>
                <w:color w:val="000000"/>
                <w:szCs w:val="22"/>
                <w:lang w:eastAsia="en-GB"/>
              </w:rPr>
              <w:t>*</w:t>
            </w:r>
          </w:p>
        </w:tc>
        <w:tc>
          <w:tcPr>
            <w:tcW w:w="2268" w:type="dxa"/>
            <w:shd w:val="clear" w:color="auto" w:fill="D9D9D9" w:themeFill="background1" w:themeFillShade="D9"/>
            <w:vAlign w:val="center"/>
            <w:hideMark/>
          </w:tcPr>
          <w:p w:rsidR="005260D7" w:rsidRPr="007C2520" w:rsidRDefault="005260D7" w:rsidP="007D4C22">
            <w:pPr>
              <w:jc w:val="center"/>
              <w:rPr>
                <w:rFonts w:ascii="Calibri" w:hAnsi="Calibri" w:cs="Times New Roman"/>
                <w:b/>
                <w:bCs/>
                <w:color w:val="000000"/>
                <w:szCs w:val="22"/>
                <w:lang w:eastAsia="en-GB"/>
              </w:rPr>
            </w:pPr>
            <w:r w:rsidRPr="007C2520">
              <w:rPr>
                <w:rFonts w:ascii="Calibri" w:hAnsi="Calibri" w:cs="Times New Roman"/>
                <w:b/>
                <w:bCs/>
                <w:color w:val="000000"/>
                <w:szCs w:val="22"/>
                <w:lang w:eastAsia="en-GB"/>
              </w:rPr>
              <w:t>Annual</w:t>
            </w:r>
            <w:r>
              <w:rPr>
                <w:rFonts w:ascii="Calibri" w:hAnsi="Calibri" w:cs="Times New Roman"/>
                <w:b/>
                <w:bCs/>
                <w:color w:val="000000"/>
                <w:szCs w:val="22"/>
                <w:lang w:eastAsia="en-GB"/>
              </w:rPr>
              <w:t xml:space="preserve"> Guaranteed Min (£</w:t>
            </w:r>
            <w:r w:rsidR="007D4C22">
              <w:rPr>
                <w:rFonts w:ascii="Calibri" w:hAnsi="Calibri" w:cs="Times New Roman"/>
                <w:b/>
                <w:bCs/>
                <w:color w:val="000000"/>
                <w:szCs w:val="22"/>
                <w:lang w:eastAsia="en-GB"/>
              </w:rPr>
              <w:t>5</w:t>
            </w:r>
            <w:r>
              <w:rPr>
                <w:rFonts w:ascii="Calibri" w:hAnsi="Calibri" w:cs="Times New Roman"/>
                <w:b/>
                <w:bCs/>
                <w:color w:val="000000"/>
                <w:szCs w:val="22"/>
                <w:lang w:eastAsia="en-GB"/>
              </w:rPr>
              <w:t xml:space="preserve">,000 per MW </w:t>
            </w:r>
            <w:r w:rsidRPr="007C2520">
              <w:rPr>
                <w:rFonts w:ascii="Calibri" w:hAnsi="Calibri" w:cs="Times New Roman"/>
                <w:b/>
                <w:bCs/>
                <w:color w:val="000000"/>
                <w:szCs w:val="22"/>
                <w:lang w:eastAsia="en-GB"/>
              </w:rPr>
              <w:t>)</w:t>
            </w:r>
          </w:p>
        </w:tc>
        <w:tc>
          <w:tcPr>
            <w:tcW w:w="2222" w:type="dxa"/>
            <w:shd w:val="clear" w:color="auto" w:fill="D9D9D9" w:themeFill="background1" w:themeFillShade="D9"/>
            <w:vAlign w:val="center"/>
            <w:hideMark/>
          </w:tcPr>
          <w:p w:rsidR="005260D7" w:rsidRPr="007C2520" w:rsidRDefault="005260D7" w:rsidP="007D4C22">
            <w:pPr>
              <w:jc w:val="center"/>
              <w:rPr>
                <w:rFonts w:ascii="Calibri" w:hAnsi="Calibri" w:cs="Times New Roman"/>
                <w:b/>
                <w:bCs/>
                <w:color w:val="000000"/>
                <w:szCs w:val="22"/>
                <w:lang w:eastAsia="en-GB"/>
              </w:rPr>
            </w:pPr>
            <w:r w:rsidRPr="007C2520">
              <w:rPr>
                <w:rFonts w:ascii="Calibri" w:hAnsi="Calibri" w:cs="Times New Roman"/>
                <w:b/>
                <w:bCs/>
                <w:color w:val="000000"/>
                <w:szCs w:val="22"/>
                <w:lang w:eastAsia="en-GB"/>
              </w:rPr>
              <w:t>Lifecycle Guaranteed Min (£</w:t>
            </w:r>
            <w:r w:rsidR="007D4C22">
              <w:rPr>
                <w:rFonts w:ascii="Calibri" w:hAnsi="Calibri" w:cs="Times New Roman"/>
                <w:b/>
                <w:bCs/>
                <w:color w:val="000000"/>
                <w:szCs w:val="22"/>
                <w:lang w:eastAsia="en-GB"/>
              </w:rPr>
              <w:t>5</w:t>
            </w:r>
            <w:r w:rsidRPr="007C2520">
              <w:rPr>
                <w:rFonts w:ascii="Calibri" w:hAnsi="Calibri" w:cs="Times New Roman"/>
                <w:b/>
                <w:bCs/>
                <w:color w:val="000000"/>
                <w:szCs w:val="22"/>
                <w:lang w:eastAsia="en-GB"/>
              </w:rPr>
              <w:t>,000 per MW)</w:t>
            </w:r>
          </w:p>
        </w:tc>
      </w:tr>
      <w:tr w:rsidR="005260D7" w:rsidRPr="007C2520" w:rsidTr="002F6CA2">
        <w:trPr>
          <w:trHeight w:val="413"/>
          <w:jc w:val="center"/>
        </w:trPr>
        <w:tc>
          <w:tcPr>
            <w:tcW w:w="1134" w:type="dxa"/>
            <w:shd w:val="clear" w:color="000000" w:fill="B8CCE4"/>
            <w:vAlign w:val="center"/>
            <w:hideMark/>
          </w:tcPr>
          <w:p w:rsidR="005260D7" w:rsidRPr="007C2520" w:rsidRDefault="00166E7B" w:rsidP="00FE4B77">
            <w:pPr>
              <w:jc w:val="center"/>
              <w:rPr>
                <w:rFonts w:ascii="Calibri" w:hAnsi="Calibri" w:cs="Times New Roman"/>
                <w:b/>
                <w:bCs/>
                <w:color w:val="000000"/>
                <w:sz w:val="24"/>
                <w:lang w:eastAsia="en-GB"/>
              </w:rPr>
            </w:pPr>
            <w:r>
              <w:rPr>
                <w:rFonts w:ascii="Calibri" w:hAnsi="Calibri" w:cs="Times New Roman"/>
                <w:b/>
                <w:bCs/>
                <w:color w:val="000000"/>
                <w:sz w:val="24"/>
                <w:lang w:eastAsia="en-GB"/>
              </w:rPr>
              <w:t>88</w:t>
            </w:r>
            <w:r w:rsidR="005260D7" w:rsidRPr="00F626E9">
              <w:rPr>
                <w:rFonts w:ascii="Calibri" w:hAnsi="Calibri" w:cs="Times New Roman"/>
                <w:b/>
                <w:bCs/>
                <w:color w:val="000000"/>
                <w:sz w:val="24"/>
                <w:lang w:eastAsia="en-GB"/>
              </w:rPr>
              <w:t>.</w:t>
            </w:r>
            <w:r w:rsidR="00FE4B77">
              <w:rPr>
                <w:rFonts w:ascii="Calibri" w:hAnsi="Calibri" w:cs="Times New Roman"/>
                <w:b/>
                <w:bCs/>
                <w:color w:val="000000"/>
                <w:sz w:val="24"/>
                <w:lang w:eastAsia="en-GB"/>
              </w:rPr>
              <w:t>4</w:t>
            </w:r>
            <w:r w:rsidR="005260D7" w:rsidRPr="00F626E9">
              <w:rPr>
                <w:rFonts w:ascii="Calibri" w:hAnsi="Calibri" w:cs="Times New Roman"/>
                <w:b/>
                <w:bCs/>
                <w:color w:val="000000"/>
                <w:sz w:val="24"/>
                <w:lang w:eastAsia="en-GB"/>
              </w:rPr>
              <w:t>MW</w:t>
            </w:r>
          </w:p>
        </w:tc>
        <w:tc>
          <w:tcPr>
            <w:tcW w:w="1701" w:type="dxa"/>
            <w:shd w:val="clear" w:color="auto" w:fill="auto"/>
            <w:vAlign w:val="center"/>
            <w:hideMark/>
          </w:tcPr>
          <w:p w:rsidR="005260D7" w:rsidRPr="007C2520" w:rsidRDefault="00A01395" w:rsidP="00242D56">
            <w:pPr>
              <w:jc w:val="center"/>
              <w:rPr>
                <w:rFonts w:ascii="Calibri" w:hAnsi="Calibri" w:cs="Times New Roman"/>
                <w:color w:val="000000"/>
                <w:szCs w:val="22"/>
                <w:lang w:eastAsia="en-GB"/>
              </w:rPr>
            </w:pPr>
            <w:r>
              <w:rPr>
                <w:rFonts w:ascii="Calibri" w:hAnsi="Calibri" w:cs="Times New Roman"/>
                <w:color w:val="000000"/>
                <w:szCs w:val="22"/>
                <w:lang w:eastAsia="en-GB"/>
              </w:rPr>
              <w:t>TBC</w:t>
            </w:r>
          </w:p>
        </w:tc>
        <w:tc>
          <w:tcPr>
            <w:tcW w:w="2127" w:type="dxa"/>
            <w:shd w:val="clear" w:color="auto" w:fill="auto"/>
            <w:vAlign w:val="center"/>
            <w:hideMark/>
          </w:tcPr>
          <w:p w:rsidR="005260D7" w:rsidRPr="007C2520" w:rsidRDefault="005260D7" w:rsidP="00242D56">
            <w:pPr>
              <w:jc w:val="center"/>
              <w:rPr>
                <w:rFonts w:ascii="Calibri" w:hAnsi="Calibri" w:cs="Times New Roman"/>
                <w:color w:val="000000"/>
                <w:szCs w:val="22"/>
                <w:lang w:eastAsia="en-GB"/>
              </w:rPr>
            </w:pPr>
            <w:r>
              <w:rPr>
                <w:rFonts w:ascii="Calibri" w:hAnsi="Calibri" w:cs="Times New Roman"/>
                <w:color w:val="000000"/>
                <w:szCs w:val="22"/>
                <w:lang w:eastAsia="en-GB"/>
              </w:rPr>
              <w:t>£</w:t>
            </w:r>
            <w:r w:rsidR="00242D56">
              <w:rPr>
                <w:rFonts w:ascii="Calibri" w:hAnsi="Calibri" w:cs="Times New Roman"/>
                <w:color w:val="000000"/>
                <w:szCs w:val="22"/>
                <w:lang w:eastAsia="en-GB"/>
              </w:rPr>
              <w:t>655,040</w:t>
            </w:r>
          </w:p>
        </w:tc>
        <w:tc>
          <w:tcPr>
            <w:tcW w:w="2268" w:type="dxa"/>
            <w:shd w:val="clear" w:color="auto" w:fill="auto"/>
            <w:vAlign w:val="center"/>
            <w:hideMark/>
          </w:tcPr>
          <w:p w:rsidR="005260D7" w:rsidRPr="007C2520" w:rsidRDefault="005260D7" w:rsidP="00FE4B77">
            <w:pPr>
              <w:jc w:val="center"/>
              <w:rPr>
                <w:rFonts w:ascii="Calibri" w:hAnsi="Calibri" w:cs="Times New Roman"/>
                <w:color w:val="000000"/>
                <w:szCs w:val="22"/>
                <w:lang w:eastAsia="en-GB"/>
              </w:rPr>
            </w:pPr>
            <w:r>
              <w:rPr>
                <w:rFonts w:ascii="Calibri" w:hAnsi="Calibri" w:cs="Times New Roman"/>
                <w:color w:val="000000"/>
                <w:szCs w:val="22"/>
                <w:lang w:eastAsia="en-GB"/>
              </w:rPr>
              <w:t>£</w:t>
            </w:r>
            <w:r w:rsidR="001116F6">
              <w:rPr>
                <w:rFonts w:ascii="Calibri" w:hAnsi="Calibri" w:cs="Times New Roman"/>
                <w:color w:val="000000"/>
                <w:szCs w:val="22"/>
                <w:lang w:eastAsia="en-GB"/>
              </w:rPr>
              <w:t>442</w:t>
            </w:r>
            <w:r w:rsidRPr="007C2520">
              <w:rPr>
                <w:rFonts w:ascii="Calibri" w:hAnsi="Calibri" w:cs="Times New Roman"/>
                <w:color w:val="000000"/>
                <w:szCs w:val="22"/>
                <w:lang w:eastAsia="en-GB"/>
              </w:rPr>
              <w:t>,</w:t>
            </w:r>
            <w:r w:rsidR="001116F6">
              <w:rPr>
                <w:rFonts w:ascii="Calibri" w:hAnsi="Calibri" w:cs="Times New Roman"/>
                <w:color w:val="000000"/>
                <w:szCs w:val="22"/>
                <w:lang w:eastAsia="en-GB"/>
              </w:rPr>
              <w:t>0</w:t>
            </w:r>
            <w:r w:rsidRPr="007C2520">
              <w:rPr>
                <w:rFonts w:ascii="Calibri" w:hAnsi="Calibri" w:cs="Times New Roman"/>
                <w:color w:val="000000"/>
                <w:szCs w:val="22"/>
                <w:lang w:eastAsia="en-GB"/>
              </w:rPr>
              <w:t>00</w:t>
            </w:r>
          </w:p>
        </w:tc>
        <w:tc>
          <w:tcPr>
            <w:tcW w:w="2222" w:type="dxa"/>
            <w:shd w:val="clear" w:color="auto" w:fill="auto"/>
            <w:vAlign w:val="center"/>
            <w:hideMark/>
          </w:tcPr>
          <w:p w:rsidR="005260D7" w:rsidRPr="007C2520" w:rsidRDefault="005260D7" w:rsidP="00FE4B77">
            <w:pPr>
              <w:jc w:val="center"/>
              <w:rPr>
                <w:rFonts w:ascii="Calibri" w:hAnsi="Calibri" w:cs="Times New Roman"/>
                <w:color w:val="000000"/>
                <w:szCs w:val="22"/>
                <w:lang w:eastAsia="en-GB"/>
              </w:rPr>
            </w:pPr>
            <w:r>
              <w:rPr>
                <w:rFonts w:ascii="Calibri" w:hAnsi="Calibri" w:cs="Times New Roman"/>
                <w:color w:val="000000"/>
                <w:szCs w:val="22"/>
                <w:lang w:eastAsia="en-GB"/>
              </w:rPr>
              <w:t>£</w:t>
            </w:r>
            <w:r w:rsidR="001116F6">
              <w:rPr>
                <w:rFonts w:ascii="Calibri" w:hAnsi="Calibri" w:cs="Times New Roman"/>
                <w:color w:val="000000"/>
                <w:szCs w:val="22"/>
                <w:lang w:eastAsia="en-GB"/>
              </w:rPr>
              <w:t>11</w:t>
            </w:r>
            <w:r w:rsidRPr="007C2520">
              <w:rPr>
                <w:rFonts w:ascii="Calibri" w:hAnsi="Calibri" w:cs="Times New Roman"/>
                <w:color w:val="000000"/>
                <w:szCs w:val="22"/>
                <w:lang w:eastAsia="en-GB"/>
              </w:rPr>
              <w:t>,</w:t>
            </w:r>
            <w:r w:rsidR="001116F6">
              <w:rPr>
                <w:rFonts w:ascii="Calibri" w:hAnsi="Calibri" w:cs="Times New Roman"/>
                <w:color w:val="000000"/>
                <w:szCs w:val="22"/>
                <w:lang w:eastAsia="en-GB"/>
              </w:rPr>
              <w:t>5</w:t>
            </w:r>
            <w:r w:rsidR="00FE4B77">
              <w:rPr>
                <w:rFonts w:ascii="Calibri" w:hAnsi="Calibri" w:cs="Times New Roman"/>
                <w:color w:val="000000"/>
                <w:szCs w:val="22"/>
                <w:lang w:eastAsia="en-GB"/>
              </w:rPr>
              <w:t>3</w:t>
            </w:r>
            <w:r w:rsidRPr="007C2520">
              <w:rPr>
                <w:rFonts w:ascii="Calibri" w:hAnsi="Calibri" w:cs="Times New Roman"/>
                <w:color w:val="000000"/>
                <w:szCs w:val="22"/>
                <w:lang w:eastAsia="en-GB"/>
              </w:rPr>
              <w:t>0,000</w:t>
            </w:r>
          </w:p>
        </w:tc>
      </w:tr>
    </w:tbl>
    <w:p w:rsidR="00F05CE6" w:rsidRDefault="005260D7" w:rsidP="009F523F">
      <w:pPr>
        <w:spacing w:before="240"/>
        <w:jc w:val="both"/>
      </w:pPr>
      <w:r>
        <w:t>*</w:t>
      </w:r>
      <w:r w:rsidRPr="00F626E9">
        <w:rPr>
          <w:i/>
          <w:sz w:val="16"/>
          <w:szCs w:val="16"/>
        </w:rPr>
        <w:t xml:space="preserve">Based on </w:t>
      </w:r>
      <w:r w:rsidR="00F626E9" w:rsidRPr="00F626E9">
        <w:rPr>
          <w:i/>
          <w:sz w:val="16"/>
          <w:szCs w:val="16"/>
        </w:rPr>
        <w:t xml:space="preserve">current estimated long term </w:t>
      </w:r>
      <w:r w:rsidRPr="00F626E9">
        <w:rPr>
          <w:i/>
          <w:sz w:val="16"/>
          <w:szCs w:val="16"/>
        </w:rPr>
        <w:t xml:space="preserve">average wind speeds for </w:t>
      </w:r>
      <w:r w:rsidR="00FE4B77">
        <w:rPr>
          <w:i/>
          <w:sz w:val="16"/>
          <w:szCs w:val="16"/>
        </w:rPr>
        <w:t>Kype Muir</w:t>
      </w:r>
      <w:r w:rsidRPr="00F626E9">
        <w:rPr>
          <w:i/>
          <w:sz w:val="16"/>
          <w:szCs w:val="16"/>
        </w:rPr>
        <w:t xml:space="preserve"> Wind farm and independent estimate of long term energy prices.</w:t>
      </w:r>
      <w:r w:rsidR="00B815D8">
        <w:rPr>
          <w:i/>
          <w:sz w:val="16"/>
          <w:szCs w:val="16"/>
        </w:rPr>
        <w:t xml:space="preserve">  This is a predicted figure and the actual value maybe higher or lower.</w:t>
      </w:r>
    </w:p>
    <w:p w:rsidR="002140E8" w:rsidRPr="002140E8" w:rsidRDefault="002140E8" w:rsidP="002140E8">
      <w:pPr>
        <w:numPr>
          <w:ilvl w:val="0"/>
          <w:numId w:val="1"/>
        </w:numPr>
        <w:spacing w:before="240"/>
        <w:jc w:val="both"/>
        <w:rPr>
          <w:b/>
        </w:rPr>
      </w:pPr>
      <w:r w:rsidRPr="002140E8">
        <w:rPr>
          <w:b/>
        </w:rPr>
        <w:t>Payment</w:t>
      </w:r>
      <w:r w:rsidR="00D2136A">
        <w:rPr>
          <w:b/>
        </w:rPr>
        <w:t>s</w:t>
      </w:r>
      <w:r w:rsidRPr="002140E8">
        <w:rPr>
          <w:b/>
        </w:rPr>
        <w:t xml:space="preserve"> T</w:t>
      </w:r>
      <w:r w:rsidR="00D2136A">
        <w:rPr>
          <w:b/>
        </w:rPr>
        <w:t>iming and Administration</w:t>
      </w:r>
    </w:p>
    <w:p w:rsidR="002140E8" w:rsidRDefault="000C0443" w:rsidP="002140E8">
      <w:pPr>
        <w:numPr>
          <w:ilvl w:val="1"/>
          <w:numId w:val="1"/>
        </w:numPr>
        <w:spacing w:before="240"/>
        <w:jc w:val="both"/>
      </w:pPr>
      <w:r>
        <w:t xml:space="preserve">The </w:t>
      </w:r>
      <w:r w:rsidR="002140E8">
        <w:t>first G</w:t>
      </w:r>
      <w:r>
        <w:t xml:space="preserve">uaranteed </w:t>
      </w:r>
      <w:r w:rsidR="0010476E">
        <w:t>Minimum</w:t>
      </w:r>
      <w:r w:rsidR="002140E8">
        <w:t xml:space="preserve"> Payment </w:t>
      </w:r>
      <w:r>
        <w:t xml:space="preserve">would be </w:t>
      </w:r>
      <w:r w:rsidR="002140E8">
        <w:t xml:space="preserve">made </w:t>
      </w:r>
      <w:r w:rsidR="00B815D8">
        <w:t xml:space="preserve">within </w:t>
      </w:r>
      <w:r w:rsidR="002140E8">
        <w:t>on</w:t>
      </w:r>
      <w:r w:rsidR="00B815D8">
        <w:t>e month of</w:t>
      </w:r>
      <w:r w:rsidR="002140E8">
        <w:t xml:space="preserve"> the Date of Commissioning of the wind farm, with future payments made on each anniversary thereafter until the wind farm ceases exporting electricity.</w:t>
      </w:r>
    </w:p>
    <w:p w:rsidR="00D2136A" w:rsidRDefault="00D2136A" w:rsidP="00D2136A">
      <w:pPr>
        <w:numPr>
          <w:ilvl w:val="1"/>
          <w:numId w:val="1"/>
        </w:numPr>
        <w:spacing w:before="240"/>
        <w:jc w:val="both"/>
      </w:pPr>
      <w:r>
        <w:t>At the end of each year the balance of community funding would be paid based on,</w:t>
      </w:r>
    </w:p>
    <w:p w:rsidR="00D2136A" w:rsidRPr="007D22DC" w:rsidRDefault="00D2136A" w:rsidP="00D2136A">
      <w:pPr>
        <w:spacing w:before="240"/>
        <w:ind w:left="1440"/>
        <w:jc w:val="both"/>
        <w:rPr>
          <w:b/>
          <w:i/>
          <w:sz w:val="20"/>
          <w:szCs w:val="20"/>
        </w:rPr>
      </w:pPr>
      <w:r w:rsidRPr="007D22DC">
        <w:rPr>
          <w:b/>
          <w:i/>
          <w:sz w:val="20"/>
          <w:szCs w:val="20"/>
        </w:rPr>
        <w:t xml:space="preserve">Balance Due = </w:t>
      </w:r>
      <w:r w:rsidR="00FE4B77">
        <w:rPr>
          <w:b/>
          <w:i/>
          <w:sz w:val="20"/>
          <w:szCs w:val="20"/>
        </w:rPr>
        <w:t>1</w:t>
      </w:r>
      <w:r w:rsidRPr="007D22DC">
        <w:rPr>
          <w:b/>
          <w:i/>
          <w:sz w:val="20"/>
          <w:szCs w:val="20"/>
        </w:rPr>
        <w:t xml:space="preserve">.5% Gross Revenue for year - Guaranteed </w:t>
      </w:r>
      <w:r w:rsidR="0010476E">
        <w:rPr>
          <w:b/>
          <w:i/>
          <w:sz w:val="20"/>
          <w:szCs w:val="20"/>
        </w:rPr>
        <w:t>Minimum</w:t>
      </w:r>
      <w:r w:rsidRPr="007D22DC">
        <w:rPr>
          <w:b/>
          <w:i/>
          <w:sz w:val="20"/>
          <w:szCs w:val="20"/>
        </w:rPr>
        <w:t xml:space="preserve"> Payment</w:t>
      </w:r>
    </w:p>
    <w:p w:rsidR="00B45F39" w:rsidRDefault="00B45F39" w:rsidP="002140E8">
      <w:pPr>
        <w:numPr>
          <w:ilvl w:val="1"/>
          <w:numId w:val="1"/>
        </w:numPr>
        <w:spacing w:before="240"/>
        <w:jc w:val="both"/>
      </w:pPr>
      <w:r>
        <w:lastRenderedPageBreak/>
        <w:t xml:space="preserve">It is envisaged that payments will be made into two administering bodies, </w:t>
      </w:r>
    </w:p>
    <w:p w:rsidR="00B45F39" w:rsidRDefault="00FE4B77" w:rsidP="00B45F39">
      <w:pPr>
        <w:numPr>
          <w:ilvl w:val="2"/>
          <w:numId w:val="1"/>
        </w:numPr>
        <w:spacing w:before="240"/>
        <w:jc w:val="both"/>
      </w:pPr>
      <w:r>
        <w:t>South Lanarkshire</w:t>
      </w:r>
      <w:r w:rsidR="00B45F39">
        <w:t xml:space="preserve"> Council Renewable Energy Fund (“REF”)</w:t>
      </w:r>
    </w:p>
    <w:p w:rsidR="00B45F39" w:rsidRDefault="00FE4B77" w:rsidP="00B45F39">
      <w:pPr>
        <w:numPr>
          <w:ilvl w:val="2"/>
          <w:numId w:val="1"/>
        </w:numPr>
        <w:spacing w:before="240"/>
        <w:jc w:val="both"/>
      </w:pPr>
      <w:r>
        <w:t xml:space="preserve"> Kype Muir</w:t>
      </w:r>
      <w:r w:rsidR="00B45F39">
        <w:t xml:space="preserve"> Wind Farm Community Fund (“</w:t>
      </w:r>
      <w:r>
        <w:t>KM</w:t>
      </w:r>
      <w:r w:rsidR="00B45F39">
        <w:t>CF”)</w:t>
      </w:r>
    </w:p>
    <w:p w:rsidR="000C0443" w:rsidRDefault="00B45F39" w:rsidP="002140E8">
      <w:pPr>
        <w:numPr>
          <w:ilvl w:val="1"/>
          <w:numId w:val="1"/>
        </w:numPr>
        <w:spacing w:before="240"/>
        <w:jc w:val="both"/>
      </w:pPr>
      <w:r>
        <w:t xml:space="preserve">The REF will receive a </w:t>
      </w:r>
      <w:r w:rsidR="0082656F">
        <w:t xml:space="preserve">guaranteed </w:t>
      </w:r>
      <w:r>
        <w:t>annual payment</w:t>
      </w:r>
      <w:r w:rsidR="00FE4B77">
        <w:t xml:space="preserve"> of £2,500 per MW installed. This equates to £221,000</w:t>
      </w:r>
      <w:r w:rsidR="00256552">
        <w:t xml:space="preserve"> per year.</w:t>
      </w:r>
    </w:p>
    <w:p w:rsidR="00256552" w:rsidRDefault="00256552" w:rsidP="002140E8">
      <w:pPr>
        <w:numPr>
          <w:ilvl w:val="1"/>
          <w:numId w:val="1"/>
        </w:numPr>
        <w:spacing w:before="240"/>
        <w:jc w:val="both"/>
      </w:pPr>
      <w:r>
        <w:t xml:space="preserve">The </w:t>
      </w:r>
      <w:r w:rsidR="00FE4B77">
        <w:t>KM</w:t>
      </w:r>
      <w:r>
        <w:t>CF will receive a guaranteed annual payment</w:t>
      </w:r>
      <w:r w:rsidR="00FE4B77">
        <w:t xml:space="preserve"> of £</w:t>
      </w:r>
      <w:r w:rsidR="001116F6">
        <w:t>2</w:t>
      </w:r>
      <w:r w:rsidR="00FE4B77">
        <w:t>500 per MW installed. This equates to £</w:t>
      </w:r>
      <w:r w:rsidR="001116F6">
        <w:t>221,000</w:t>
      </w:r>
      <w:r w:rsidR="00FE4B77">
        <w:t>, based on 88.4MW commissioned wind farm.</w:t>
      </w:r>
    </w:p>
    <w:p w:rsidR="0082656F" w:rsidRDefault="0082656F" w:rsidP="002140E8">
      <w:pPr>
        <w:numPr>
          <w:ilvl w:val="1"/>
          <w:numId w:val="1"/>
        </w:numPr>
        <w:spacing w:before="240"/>
        <w:jc w:val="both"/>
      </w:pPr>
      <w:r>
        <w:t>Together these payments make up the Guaranteed Minimum Payment of £</w:t>
      </w:r>
      <w:r w:rsidR="007D4C22">
        <w:t>5</w:t>
      </w:r>
      <w:r>
        <w:t>,000 per MW installed.</w:t>
      </w:r>
    </w:p>
    <w:p w:rsidR="00256552" w:rsidRDefault="00256552" w:rsidP="002140E8">
      <w:pPr>
        <w:numPr>
          <w:ilvl w:val="1"/>
          <w:numId w:val="1"/>
        </w:numPr>
        <w:spacing w:before="240"/>
        <w:jc w:val="both"/>
      </w:pPr>
      <w:r>
        <w:t xml:space="preserve">In addition the </w:t>
      </w:r>
      <w:r w:rsidR="0082656F">
        <w:t>KM</w:t>
      </w:r>
      <w:r>
        <w:t xml:space="preserve">CF will receive </w:t>
      </w:r>
      <w:r w:rsidR="0082656F">
        <w:t>an</w:t>
      </w:r>
      <w:r>
        <w:t xml:space="preserve"> annual (in arrears) balancing payment </w:t>
      </w:r>
      <w:r w:rsidR="0082656F">
        <w:t xml:space="preserve">as </w:t>
      </w:r>
      <w:r>
        <w:t>defined in Para 3.2, above.</w:t>
      </w:r>
      <w:r w:rsidR="004974E2">
        <w:t xml:space="preserve"> Based on current projections this is expected to average around £</w:t>
      </w:r>
      <w:r w:rsidR="001116F6">
        <w:t>213,040</w:t>
      </w:r>
      <w:r w:rsidR="00242D56">
        <w:t>,</w:t>
      </w:r>
      <w:r w:rsidR="0082656F">
        <w:t xml:space="preserve"> </w:t>
      </w:r>
      <w:r w:rsidR="004974E2">
        <w:t>per year.</w:t>
      </w:r>
    </w:p>
    <w:p w:rsidR="004974E2" w:rsidRDefault="00241D1D" w:rsidP="002A4C9A">
      <w:pPr>
        <w:numPr>
          <w:ilvl w:val="0"/>
          <w:numId w:val="1"/>
        </w:numPr>
        <w:spacing w:before="240"/>
        <w:jc w:val="both"/>
        <w:rPr>
          <w:b/>
        </w:rPr>
      </w:pPr>
      <w:r>
        <w:rPr>
          <w:b/>
        </w:rPr>
        <w:t xml:space="preserve">Kype Muir Community Partnership </w:t>
      </w:r>
      <w:r w:rsidR="004974E2" w:rsidRPr="004974E2">
        <w:rPr>
          <w:b/>
        </w:rPr>
        <w:t>(“</w:t>
      </w:r>
      <w:r>
        <w:rPr>
          <w:b/>
        </w:rPr>
        <w:t>KMCP</w:t>
      </w:r>
      <w:r w:rsidR="004974E2" w:rsidRPr="004974E2">
        <w:rPr>
          <w:b/>
        </w:rPr>
        <w:t>”)</w:t>
      </w:r>
    </w:p>
    <w:p w:rsidR="002F6A43" w:rsidRDefault="002F6A43" w:rsidP="002F6A43"/>
    <w:p w:rsidR="00711610" w:rsidRPr="00711610" w:rsidRDefault="0082656F" w:rsidP="00711610">
      <w:pPr>
        <w:pStyle w:val="ListParagraph"/>
        <w:numPr>
          <w:ilvl w:val="1"/>
          <w:numId w:val="1"/>
        </w:numPr>
      </w:pPr>
      <w:r>
        <w:t>W</w:t>
      </w:r>
      <w:r w:rsidR="007D22DC">
        <w:t xml:space="preserve">e propose that a </w:t>
      </w:r>
      <w:r w:rsidR="00241D1D">
        <w:t xml:space="preserve">Kype Muir </w:t>
      </w:r>
      <w:r w:rsidR="007D22DC">
        <w:t xml:space="preserve">Community </w:t>
      </w:r>
      <w:r w:rsidR="00241D1D">
        <w:t>Partnership</w:t>
      </w:r>
      <w:r w:rsidR="007D22DC">
        <w:t xml:space="preserve"> </w:t>
      </w:r>
      <w:r w:rsidR="00241D1D">
        <w:t>group</w:t>
      </w:r>
      <w:r w:rsidR="007D22DC">
        <w:t xml:space="preserve"> is set up, drawing its </w:t>
      </w:r>
      <w:r w:rsidR="00241D1D">
        <w:t>voting members</w:t>
      </w:r>
      <w:r w:rsidR="007D22DC">
        <w:t xml:space="preserve"> from the representative Community Councils</w:t>
      </w:r>
      <w:r w:rsidR="00241D1D">
        <w:t>. W</w:t>
      </w:r>
      <w:r w:rsidR="007D22DC">
        <w:t xml:space="preserve">e would recommend </w:t>
      </w:r>
      <w:r w:rsidR="002F6A43">
        <w:t>that t</w:t>
      </w:r>
      <w:r w:rsidR="00711610" w:rsidRPr="00711610">
        <w:t xml:space="preserve">he Council shall have the opportunity to have representation on the KMCP. The form of this representation will be advised by the Council. </w:t>
      </w:r>
      <w:r w:rsidR="002F6A43">
        <w:t>W</w:t>
      </w:r>
      <w:r w:rsidR="00241D1D">
        <w:t xml:space="preserve">e would </w:t>
      </w:r>
      <w:r w:rsidR="002F6A43">
        <w:t xml:space="preserve">also </w:t>
      </w:r>
      <w:r w:rsidR="00241D1D">
        <w:t xml:space="preserve">encourage the involvement of </w:t>
      </w:r>
      <w:r w:rsidR="00B84098">
        <w:t>important local clubs or groups and</w:t>
      </w:r>
      <w:r w:rsidR="007D22DC">
        <w:t xml:space="preserve"> the business community</w:t>
      </w:r>
      <w:r w:rsidR="00241D1D">
        <w:t xml:space="preserve"> in the activities of the KMCP</w:t>
      </w:r>
      <w:r w:rsidR="0089698D">
        <w:t xml:space="preserve"> in a non</w:t>
      </w:r>
      <w:r w:rsidR="004700ED">
        <w:t>-</w:t>
      </w:r>
      <w:r w:rsidR="0089698D">
        <w:t>voting capacity</w:t>
      </w:r>
      <w:r w:rsidR="00B84098">
        <w:t>.</w:t>
      </w:r>
    </w:p>
    <w:p w:rsidR="00B84098" w:rsidRPr="00B84098" w:rsidRDefault="007D2915" w:rsidP="00A952CD">
      <w:pPr>
        <w:numPr>
          <w:ilvl w:val="1"/>
          <w:numId w:val="1"/>
        </w:numPr>
        <w:spacing w:before="240"/>
        <w:jc w:val="both"/>
        <w:rPr>
          <w:b/>
        </w:rPr>
      </w:pPr>
      <w:r>
        <w:t>Kype Muir Wind Farm Ltd</w:t>
      </w:r>
      <w:r w:rsidR="00B84098">
        <w:t xml:space="preserve"> and </w:t>
      </w:r>
      <w:r w:rsidR="0082656F">
        <w:t>SLC</w:t>
      </w:r>
      <w:r w:rsidR="00B84098">
        <w:t xml:space="preserve"> </w:t>
      </w:r>
      <w:r w:rsidR="0002182A">
        <w:t>representatives</w:t>
      </w:r>
      <w:r w:rsidR="00A3603D">
        <w:t xml:space="preserve"> </w:t>
      </w:r>
      <w:r w:rsidR="00167CE2">
        <w:t>will also be invited to</w:t>
      </w:r>
      <w:r w:rsidR="00B84098">
        <w:t xml:space="preserve"> attend (at their option).</w:t>
      </w:r>
    </w:p>
    <w:p w:rsidR="00B84098" w:rsidRPr="00B84098" w:rsidRDefault="00B84098" w:rsidP="00A952CD">
      <w:pPr>
        <w:numPr>
          <w:ilvl w:val="1"/>
          <w:numId w:val="1"/>
        </w:numPr>
        <w:spacing w:before="240"/>
        <w:jc w:val="both"/>
        <w:rPr>
          <w:b/>
        </w:rPr>
      </w:pPr>
      <w:r>
        <w:t xml:space="preserve">The </w:t>
      </w:r>
      <w:r w:rsidR="00D32F42">
        <w:t>KMCP</w:t>
      </w:r>
      <w:r>
        <w:t xml:space="preserve"> must be properly constituted and be transparent in its actions and objectives and ensure that these are at all times </w:t>
      </w:r>
      <w:r w:rsidR="00727C72">
        <w:t xml:space="preserve">wholly </w:t>
      </w:r>
      <w:r>
        <w:t xml:space="preserve">for the benefit of the </w:t>
      </w:r>
      <w:r w:rsidR="00727C72">
        <w:t>C</w:t>
      </w:r>
      <w:r>
        <w:t>ommunities.</w:t>
      </w:r>
    </w:p>
    <w:p w:rsidR="00B84098" w:rsidRPr="00B84098" w:rsidRDefault="00727C72" w:rsidP="00A952CD">
      <w:pPr>
        <w:numPr>
          <w:ilvl w:val="1"/>
          <w:numId w:val="1"/>
        </w:numPr>
        <w:spacing w:before="240"/>
        <w:jc w:val="both"/>
        <w:rPr>
          <w:b/>
        </w:rPr>
      </w:pPr>
      <w:r>
        <w:t>We</w:t>
      </w:r>
      <w:r w:rsidR="00D32F42">
        <w:t xml:space="preserve"> would require an </w:t>
      </w:r>
      <w:r w:rsidR="00B84098">
        <w:t xml:space="preserve">annual review of the membership of the </w:t>
      </w:r>
      <w:r w:rsidR="00D32F42">
        <w:t>KMCP</w:t>
      </w:r>
      <w:r w:rsidR="00B84098">
        <w:t xml:space="preserve">, as well as </w:t>
      </w:r>
      <w:r w:rsidR="00ED3FB2">
        <w:t>a qua</w:t>
      </w:r>
      <w:r w:rsidR="00453F7F">
        <w:t>r</w:t>
      </w:r>
      <w:r w:rsidR="00ED3FB2">
        <w:t xml:space="preserve">terly statement of accounts, </w:t>
      </w:r>
      <w:r w:rsidR="00B84098">
        <w:t xml:space="preserve">the </w:t>
      </w:r>
      <w:r w:rsidR="00ED3FB2">
        <w:t xml:space="preserve">grant assessment reports and minutes of </w:t>
      </w:r>
      <w:r w:rsidR="00B84098">
        <w:t>decisions and actions</w:t>
      </w:r>
      <w:r w:rsidR="00ED3FB2">
        <w:t xml:space="preserve"> made by the KMCP</w:t>
      </w:r>
      <w:r w:rsidR="00B84098">
        <w:t xml:space="preserve"> </w:t>
      </w:r>
      <w:r w:rsidR="00ED3FB2">
        <w:t xml:space="preserve">for each meeting </w:t>
      </w:r>
      <w:r w:rsidR="00B84098">
        <w:t>during each year of activity.</w:t>
      </w:r>
      <w:r w:rsidR="00ED3FB2">
        <w:t xml:space="preserve">  We would normally expect the KMCP to meet on a quarterly basis.</w:t>
      </w:r>
    </w:p>
    <w:p w:rsidR="00D01CE8" w:rsidRPr="00D01CE8" w:rsidRDefault="00B84098" w:rsidP="00A952CD">
      <w:pPr>
        <w:numPr>
          <w:ilvl w:val="1"/>
          <w:numId w:val="1"/>
        </w:numPr>
        <w:spacing w:before="240"/>
        <w:jc w:val="both"/>
        <w:rPr>
          <w:b/>
        </w:rPr>
      </w:pPr>
      <w:r>
        <w:t>In the event that such a review highlight</w:t>
      </w:r>
      <w:r w:rsidR="00727C72">
        <w:t>ed</w:t>
      </w:r>
      <w:r>
        <w:t xml:space="preserve"> concerns either in terms of the administration, action or decision making of the </w:t>
      </w:r>
      <w:r w:rsidR="00D32F42">
        <w:t>KMCP</w:t>
      </w:r>
      <w:r>
        <w:t xml:space="preserve"> </w:t>
      </w:r>
      <w:r w:rsidR="00727C72">
        <w:t>(</w:t>
      </w:r>
      <w:r>
        <w:t>and in particular the inappropriate use of community funding</w:t>
      </w:r>
      <w:r w:rsidR="00727C72">
        <w:t>)</w:t>
      </w:r>
      <w:r>
        <w:t xml:space="preserve"> then Banks Renewables and</w:t>
      </w:r>
      <w:r w:rsidR="00A17EFC">
        <w:t xml:space="preserve"> </w:t>
      </w:r>
      <w:r>
        <w:t>/</w:t>
      </w:r>
      <w:r w:rsidR="00A17EFC">
        <w:t xml:space="preserve"> </w:t>
      </w:r>
      <w:r>
        <w:t xml:space="preserve">or </w:t>
      </w:r>
      <w:r w:rsidR="00765EE9">
        <w:t>SL</w:t>
      </w:r>
      <w:r>
        <w:t xml:space="preserve">C would </w:t>
      </w:r>
      <w:r w:rsidR="00727C72">
        <w:t>have</w:t>
      </w:r>
      <w:r>
        <w:t xml:space="preserve"> the right</w:t>
      </w:r>
      <w:r w:rsidR="002D7ED2">
        <w:t>,</w:t>
      </w:r>
      <w:r>
        <w:t xml:space="preserve"> at any time during the operations of </w:t>
      </w:r>
      <w:r w:rsidR="00765EE9">
        <w:t>Kype Muir</w:t>
      </w:r>
      <w:r w:rsidR="00D32F42">
        <w:t xml:space="preserve"> Wind F</w:t>
      </w:r>
      <w:r>
        <w:t>arm</w:t>
      </w:r>
      <w:r w:rsidR="002D7ED2">
        <w:t>,</w:t>
      </w:r>
      <w:r>
        <w:t xml:space="preserve"> to review the </w:t>
      </w:r>
      <w:r w:rsidR="00D01CE8">
        <w:t>administration of the funding</w:t>
      </w:r>
      <w:r w:rsidR="002D7ED2">
        <w:t xml:space="preserve">; </w:t>
      </w:r>
      <w:r w:rsidR="00735EFA">
        <w:t>m</w:t>
      </w:r>
      <w:r w:rsidR="00D01CE8">
        <w:t>ak</w:t>
      </w:r>
      <w:r w:rsidR="002D7ED2">
        <w:t>ing</w:t>
      </w:r>
      <w:r w:rsidR="00D01CE8">
        <w:t xml:space="preserve"> such changes as may be necessary to ensure that at all times community funding is directed into community projects, initiatives</w:t>
      </w:r>
      <w:r w:rsidR="002D7ED2">
        <w:t xml:space="preserve"> etc that are supported by the C</w:t>
      </w:r>
      <w:r w:rsidR="00D01CE8">
        <w:t xml:space="preserve">ommunities as a whole. </w:t>
      </w:r>
    </w:p>
    <w:p w:rsidR="00D01CE8" w:rsidRPr="00735EFA" w:rsidRDefault="00D01CE8" w:rsidP="00A952CD">
      <w:pPr>
        <w:numPr>
          <w:ilvl w:val="1"/>
          <w:numId w:val="1"/>
        </w:numPr>
        <w:spacing w:before="240"/>
        <w:jc w:val="both"/>
        <w:rPr>
          <w:b/>
        </w:rPr>
      </w:pPr>
      <w:r>
        <w:t xml:space="preserve">The </w:t>
      </w:r>
      <w:r w:rsidR="00D32F42">
        <w:t>KMCP</w:t>
      </w:r>
      <w:r>
        <w:t xml:space="preserve"> would de</w:t>
      </w:r>
      <w:r w:rsidR="003274A3">
        <w:t>termine</w:t>
      </w:r>
      <w:r>
        <w:t xml:space="preserve"> all applications made into the </w:t>
      </w:r>
      <w:r w:rsidR="00765EE9">
        <w:t>KM</w:t>
      </w:r>
      <w:r>
        <w:t>CF</w:t>
      </w:r>
      <w:r w:rsidR="003274A3">
        <w:t xml:space="preserve"> in accordance with </w:t>
      </w:r>
      <w:r w:rsidR="00FA6F3E">
        <w:t>criteria agreed with the Banks Community Fund</w:t>
      </w:r>
      <w:r w:rsidR="006B70F2">
        <w:t xml:space="preserve"> and SLC</w:t>
      </w:r>
      <w:r>
        <w:t>.</w:t>
      </w:r>
    </w:p>
    <w:p w:rsidR="00A011E5" w:rsidRDefault="00A011E5">
      <w:pPr>
        <w:spacing w:before="240"/>
        <w:jc w:val="both"/>
        <w:rPr>
          <w:b/>
        </w:rPr>
      </w:pPr>
    </w:p>
    <w:p w:rsidR="00A3603D" w:rsidRPr="007D2915" w:rsidRDefault="0089698D" w:rsidP="007D2915">
      <w:pPr>
        <w:numPr>
          <w:ilvl w:val="0"/>
          <w:numId w:val="1"/>
        </w:numPr>
        <w:spacing w:before="240"/>
        <w:jc w:val="both"/>
        <w:rPr>
          <w:b/>
        </w:rPr>
      </w:pPr>
      <w:r w:rsidRPr="007D2915">
        <w:rPr>
          <w:b/>
        </w:rPr>
        <w:lastRenderedPageBreak/>
        <w:t>KMCP and the</w:t>
      </w:r>
      <w:r w:rsidR="00A3603D" w:rsidRPr="007D2915">
        <w:rPr>
          <w:b/>
        </w:rPr>
        <w:t xml:space="preserve"> S</w:t>
      </w:r>
      <w:r w:rsidRPr="007D2915">
        <w:rPr>
          <w:b/>
        </w:rPr>
        <w:t xml:space="preserve">outh </w:t>
      </w:r>
      <w:r w:rsidR="00A3603D" w:rsidRPr="007D2915">
        <w:rPr>
          <w:b/>
        </w:rPr>
        <w:t>L</w:t>
      </w:r>
      <w:r w:rsidRPr="007D2915">
        <w:rPr>
          <w:b/>
        </w:rPr>
        <w:t xml:space="preserve">anarkshire </w:t>
      </w:r>
      <w:r w:rsidR="00A3603D" w:rsidRPr="007D2915">
        <w:rPr>
          <w:b/>
        </w:rPr>
        <w:t>C</w:t>
      </w:r>
      <w:r w:rsidRPr="007D2915">
        <w:rPr>
          <w:b/>
        </w:rPr>
        <w:t>ouncil</w:t>
      </w:r>
      <w:r w:rsidR="00A3603D" w:rsidRPr="007D2915">
        <w:rPr>
          <w:b/>
        </w:rPr>
        <w:t xml:space="preserve"> REF</w:t>
      </w:r>
    </w:p>
    <w:p w:rsidR="00711610" w:rsidRDefault="00D01CE8">
      <w:pPr>
        <w:numPr>
          <w:ilvl w:val="1"/>
          <w:numId w:val="1"/>
        </w:numPr>
        <w:spacing w:before="240"/>
        <w:jc w:val="both"/>
        <w:rPr>
          <w:b/>
        </w:rPr>
      </w:pPr>
      <w:r>
        <w:t xml:space="preserve">In addition we propose that </w:t>
      </w:r>
      <w:r w:rsidR="00765EE9">
        <w:t>SLC</w:t>
      </w:r>
      <w:r>
        <w:t xml:space="preserve"> agree that </w:t>
      </w:r>
      <w:r w:rsidR="002D7ED2">
        <w:t xml:space="preserve">the </w:t>
      </w:r>
      <w:r w:rsidR="00D32F42">
        <w:t>KMCP</w:t>
      </w:r>
      <w:r>
        <w:t xml:space="preserve"> is a </w:t>
      </w:r>
      <w:proofErr w:type="spellStart"/>
      <w:r>
        <w:t>consultee</w:t>
      </w:r>
      <w:proofErr w:type="spellEnd"/>
      <w:r>
        <w:t xml:space="preserve"> in respect of any application made into the REF for </w:t>
      </w:r>
      <w:r w:rsidR="00765EE9">
        <w:t>Kype Muir</w:t>
      </w:r>
      <w:r>
        <w:t xml:space="preserve"> Wind Farm</w:t>
      </w:r>
      <w:r w:rsidR="00765EE9">
        <w:t>; this having been agreed in principle with</w:t>
      </w:r>
      <w:r w:rsidR="002D7ED2">
        <w:t xml:space="preserve"> South Lanarkshire Council</w:t>
      </w:r>
      <w:r>
        <w:t>.</w:t>
      </w:r>
      <w:r w:rsidR="00B84098">
        <w:t xml:space="preserve"> </w:t>
      </w:r>
      <w:r w:rsidR="003F4FF8">
        <w:t xml:space="preserve">We would suggest an Annual Report of grants given by the Kype Muir REF is undertaken by SLC along with Kype Muir Wind Farm Ltd and the KMCP. </w:t>
      </w:r>
      <w:r w:rsidR="003E459B">
        <w:t xml:space="preserve"> </w:t>
      </w:r>
      <w:r w:rsidR="003F4FF8">
        <w:t>This review would seek to inform the KMCP of supported projects and the financial status of the Fund and would seek to confirm that all decisions are made in line with the REF criteria.</w:t>
      </w:r>
    </w:p>
    <w:p w:rsidR="007B1603" w:rsidRPr="007B1603" w:rsidRDefault="00D01CE8" w:rsidP="00A952CD">
      <w:pPr>
        <w:numPr>
          <w:ilvl w:val="1"/>
          <w:numId w:val="1"/>
        </w:numPr>
        <w:spacing w:before="240"/>
        <w:jc w:val="both"/>
        <w:rPr>
          <w:b/>
        </w:rPr>
      </w:pPr>
      <w:r>
        <w:t>In th</w:t>
      </w:r>
      <w:r w:rsidR="007B1603">
        <w:t xml:space="preserve">e above </w:t>
      </w:r>
      <w:r>
        <w:t>way the communities as a whole secure comfort that</w:t>
      </w:r>
      <w:r w:rsidR="007B1603">
        <w:t>,</w:t>
      </w:r>
    </w:p>
    <w:p w:rsidR="007B1603" w:rsidRPr="007B1603" w:rsidRDefault="00690E69" w:rsidP="007B1603">
      <w:pPr>
        <w:numPr>
          <w:ilvl w:val="2"/>
          <w:numId w:val="1"/>
        </w:numPr>
        <w:spacing w:before="240"/>
        <w:jc w:val="both"/>
        <w:rPr>
          <w:b/>
        </w:rPr>
      </w:pPr>
      <w:r>
        <w:t>A</w:t>
      </w:r>
      <w:r w:rsidR="00791486">
        <w:t xml:space="preserve">ll community funding </w:t>
      </w:r>
      <w:r w:rsidR="007B1603">
        <w:t>benefits their communities; and</w:t>
      </w:r>
    </w:p>
    <w:p w:rsidR="00D01CE8" w:rsidRPr="007B1603" w:rsidRDefault="00690E69" w:rsidP="007B1603">
      <w:pPr>
        <w:numPr>
          <w:ilvl w:val="2"/>
          <w:numId w:val="1"/>
        </w:numPr>
        <w:spacing w:before="240"/>
        <w:jc w:val="both"/>
        <w:rPr>
          <w:b/>
        </w:rPr>
      </w:pPr>
      <w:r>
        <w:t>T</w:t>
      </w:r>
      <w:r w:rsidR="007B1603">
        <w:t xml:space="preserve">hey have a clear say in how money is spent; and </w:t>
      </w:r>
    </w:p>
    <w:p w:rsidR="007B1603" w:rsidRPr="007B1603" w:rsidRDefault="00690E69" w:rsidP="007B1603">
      <w:pPr>
        <w:numPr>
          <w:ilvl w:val="2"/>
          <w:numId w:val="1"/>
        </w:numPr>
        <w:spacing w:before="240"/>
        <w:jc w:val="both"/>
      </w:pPr>
      <w:r>
        <w:t>There</w:t>
      </w:r>
      <w:r w:rsidR="007B1603">
        <w:t xml:space="preserve"> is transparency and accountability in terms of the management of their community funding.</w:t>
      </w:r>
      <w:r w:rsidR="007B1603" w:rsidRPr="007B1603">
        <w:t xml:space="preserve"> </w:t>
      </w:r>
    </w:p>
    <w:p w:rsidR="00F94024" w:rsidRDefault="00F94024" w:rsidP="008E61C2">
      <w:pPr>
        <w:numPr>
          <w:ilvl w:val="1"/>
          <w:numId w:val="1"/>
        </w:numPr>
        <w:spacing w:before="240"/>
        <w:jc w:val="both"/>
      </w:pPr>
      <w:r>
        <w:t xml:space="preserve">The overall </w:t>
      </w:r>
      <w:r w:rsidR="00690E69">
        <w:t>decision making process is illustrated in D</w:t>
      </w:r>
      <w:r>
        <w:t>iagram</w:t>
      </w:r>
      <w:r w:rsidR="00765CEF">
        <w:t xml:space="preserve"> </w:t>
      </w:r>
      <w:r w:rsidR="00690E69">
        <w:t>1.</w:t>
      </w:r>
    </w:p>
    <w:p w:rsidR="007D2915" w:rsidRDefault="007D2915" w:rsidP="007D2915">
      <w:pPr>
        <w:spacing w:before="240"/>
        <w:ind w:left="1440"/>
        <w:jc w:val="both"/>
      </w:pPr>
    </w:p>
    <w:p w:rsidR="00F94024" w:rsidRPr="00690E69" w:rsidRDefault="00F94024" w:rsidP="00F94024">
      <w:pPr>
        <w:spacing w:before="240"/>
        <w:jc w:val="both"/>
        <w:rPr>
          <w:b/>
          <w:i/>
          <w:sz w:val="20"/>
          <w:szCs w:val="20"/>
        </w:rPr>
      </w:pPr>
      <w:r w:rsidRPr="00690E69">
        <w:rPr>
          <w:b/>
          <w:i/>
          <w:sz w:val="20"/>
          <w:szCs w:val="20"/>
        </w:rPr>
        <w:t xml:space="preserve">Diagram 1 – </w:t>
      </w:r>
      <w:r w:rsidR="00765EE9">
        <w:rPr>
          <w:b/>
          <w:i/>
          <w:sz w:val="20"/>
          <w:szCs w:val="20"/>
        </w:rPr>
        <w:t>Kype Muir</w:t>
      </w:r>
      <w:r w:rsidR="00690E69" w:rsidRPr="00690E69">
        <w:rPr>
          <w:b/>
          <w:i/>
          <w:sz w:val="20"/>
          <w:szCs w:val="20"/>
        </w:rPr>
        <w:t xml:space="preserve"> Community Funds: Administration and Decision Making</w:t>
      </w:r>
    </w:p>
    <w:p w:rsidR="00F94024" w:rsidRDefault="003F14C4" w:rsidP="00F94024">
      <w:pPr>
        <w:spacing w:before="240"/>
        <w:jc w:val="both"/>
      </w:pPr>
      <w:r>
        <w:rPr>
          <w:noProof/>
          <w:lang w:eastAsia="en-GB"/>
        </w:rPr>
        <w:pict>
          <v:group id="_x0000_s1035" style="position:absolute;left:0;text-align:left;margin-left:51.35pt;margin-top:13.45pt;width:329.1pt;height:55.5pt;z-index:251681792" coordorigin="2445,8760" coordsize="6582,1110">
            <v:shapetype id="_x0000_t32" coordsize="21600,21600" o:spt="32" o:oned="t" path="m,l21600,21600e" filled="f">
              <v:path arrowok="t" fillok="f" o:connecttype="none"/>
              <o:lock v:ext="edit" shapetype="t"/>
            </v:shapetype>
            <v:shape id="_x0000_s1036" type="#_x0000_t32" style="position:absolute;left:2445;top:9105;width:1200;height:0" o:connectortype="straight" strokecolor="#7030a0" strokeweight="3pt"/>
            <v:group id="_x0000_s1037" style="position:absolute;left:2445;top:9105;width:6582;height:765" coordorigin="2445,9105" coordsize="6582,765">
              <v:shape id="_x0000_s1038" type="#_x0000_t32" style="position:absolute;left:2445;top:9105;width:0;height:765;flip:y" o:connectortype="straight" strokecolor="#7030a0" strokeweight="3pt"/>
              <v:shape id="_x0000_s1039" type="#_x0000_t32" style="position:absolute;left:9027;top:9105;width:0;height:360" o:connectortype="straight" strokecolor="#7030a0" strokeweight="3pt">
                <v:stroke endarrow="block"/>
              </v:shape>
            </v:group>
            <v:rect id="_x0000_s1040" style="position:absolute;left:3645;top:8760;width:4395;height:705" strokecolor="#7030a0" strokeweight="3pt">
              <v:textbox>
                <w:txbxContent>
                  <w:p w:rsidR="00284E48" w:rsidRPr="00E55B6D" w:rsidRDefault="00284E48" w:rsidP="00E55B6D">
                    <w:pPr>
                      <w:jc w:val="center"/>
                      <w:rPr>
                        <w:b/>
                        <w:color w:val="7030A0"/>
                        <w:sz w:val="18"/>
                      </w:rPr>
                    </w:pPr>
                    <w:r w:rsidRPr="00E55B6D">
                      <w:rPr>
                        <w:b/>
                        <w:color w:val="7030A0"/>
                        <w:sz w:val="18"/>
                      </w:rPr>
                      <w:t>Funding released from REF</w:t>
                    </w:r>
                    <w:r>
                      <w:rPr>
                        <w:b/>
                        <w:color w:val="7030A0"/>
                        <w:sz w:val="18"/>
                      </w:rPr>
                      <w:t xml:space="preserve"> based on council’s decision</w:t>
                    </w:r>
                  </w:p>
                </w:txbxContent>
              </v:textbox>
            </v:rect>
            <v:shape id="_x0000_s1041" type="#_x0000_t32" style="position:absolute;left:8040;top:9105;width:987;height:0" o:connectortype="straight" strokecolor="#7030a0" strokeweight="3pt"/>
          </v:group>
        </w:pict>
      </w:r>
      <w:r w:rsidR="00747993">
        <w:tab/>
      </w:r>
      <w:r w:rsidR="00747993">
        <w:tab/>
      </w:r>
      <w:r w:rsidR="00747993">
        <w:tab/>
      </w:r>
      <w:r w:rsidR="00747993">
        <w:tab/>
      </w:r>
      <w:r w:rsidR="00747993">
        <w:tab/>
      </w:r>
      <w:r w:rsidR="00747993">
        <w:tab/>
      </w:r>
      <w:r w:rsidR="00747993">
        <w:tab/>
      </w:r>
    </w:p>
    <w:p w:rsidR="00612A99" w:rsidRDefault="00747993" w:rsidP="00F94024">
      <w:pPr>
        <w:spacing w:before="240"/>
        <w:jc w:val="both"/>
      </w:pPr>
      <w:r>
        <w:tab/>
      </w:r>
      <w:r>
        <w:tab/>
      </w:r>
      <w:r>
        <w:tab/>
      </w:r>
      <w:r>
        <w:tab/>
      </w:r>
      <w:r>
        <w:tab/>
      </w:r>
    </w:p>
    <w:p w:rsidR="00612A99" w:rsidRDefault="003F14C4" w:rsidP="00F94024">
      <w:pPr>
        <w:spacing w:before="240"/>
        <w:jc w:val="both"/>
      </w:pPr>
      <w:r>
        <w:rPr>
          <w:noProof/>
          <w:lang w:eastAsia="en-GB"/>
        </w:rPr>
        <w:pict>
          <v:oval id="_x0000_s1026" style="position:absolute;left:0;text-align:left;margin-left:-10.9pt;margin-top:23.45pt;width:113.25pt;height:46.95pt;z-index:251658240" strokeweight="3pt">
            <v:textbox>
              <w:txbxContent>
                <w:p w:rsidR="00284E48" w:rsidRPr="00D32F42" w:rsidRDefault="00284E48" w:rsidP="001869B9">
                  <w:pPr>
                    <w:jc w:val="center"/>
                    <w:rPr>
                      <w:b/>
                      <w:sz w:val="36"/>
                      <w:szCs w:val="36"/>
                    </w:rPr>
                  </w:pPr>
                  <w:r w:rsidRPr="00D32F42">
                    <w:rPr>
                      <w:b/>
                      <w:sz w:val="36"/>
                      <w:szCs w:val="36"/>
                    </w:rPr>
                    <w:t>REF</w:t>
                  </w:r>
                </w:p>
              </w:txbxContent>
            </v:textbox>
          </v:oval>
        </w:pict>
      </w:r>
      <w:r>
        <w:rPr>
          <w:noProof/>
          <w:lang w:eastAsia="en-GB"/>
        </w:rPr>
        <w:pict>
          <v:oval id="_x0000_s1027" style="position:absolute;left:0;text-align:left;margin-left:297.35pt;margin-top:3.2pt;width:186.75pt;height:105.75pt;z-index:251659264" strokeweight="3pt">
            <v:textbox>
              <w:txbxContent>
                <w:p w:rsidR="00284E48" w:rsidRPr="00103E74" w:rsidRDefault="00711610" w:rsidP="001869B9">
                  <w:pPr>
                    <w:jc w:val="center"/>
                    <w:rPr>
                      <w:b/>
                      <w:sz w:val="20"/>
                      <w:szCs w:val="20"/>
                    </w:rPr>
                  </w:pPr>
                  <w:r w:rsidRPr="00711610">
                    <w:rPr>
                      <w:b/>
                      <w:sz w:val="20"/>
                      <w:szCs w:val="20"/>
                    </w:rPr>
                    <w:t>Community Group / Sporting Club / Social Enterprise / Association / Community Company</w:t>
                  </w:r>
                  <w:r w:rsidR="00103E74">
                    <w:rPr>
                      <w:b/>
                    </w:rPr>
                    <w:t xml:space="preserve"> </w:t>
                  </w:r>
                  <w:r w:rsidRPr="00711610">
                    <w:rPr>
                      <w:b/>
                      <w:sz w:val="20"/>
                      <w:szCs w:val="20"/>
                    </w:rPr>
                    <w:t xml:space="preserve">/unemployed </w:t>
                  </w:r>
                  <w:r w:rsidR="00103E74">
                    <w:rPr>
                      <w:b/>
                      <w:sz w:val="20"/>
                      <w:szCs w:val="20"/>
                    </w:rPr>
                    <w:t>local resident</w:t>
                  </w:r>
                </w:p>
                <w:p w:rsidR="00284E48" w:rsidRDefault="00284E48"/>
              </w:txbxContent>
            </v:textbox>
          </v:oval>
        </w:pict>
      </w:r>
      <w:r w:rsidR="00747993">
        <w:tab/>
      </w:r>
      <w:r w:rsidR="00747993">
        <w:tab/>
      </w:r>
      <w:r w:rsidR="00747993">
        <w:tab/>
      </w:r>
    </w:p>
    <w:p w:rsidR="00612A99" w:rsidRDefault="003F14C4" w:rsidP="00F94024">
      <w:pPr>
        <w:spacing w:before="240"/>
        <w:jc w:val="both"/>
      </w:pPr>
      <w:r>
        <w:rPr>
          <w:noProof/>
          <w:lang w:eastAsia="en-GB"/>
        </w:rPr>
        <w:pict>
          <v:group id="_x0000_s1031" style="position:absolute;left:0;text-align:left;margin-left:106.85pt;margin-top:2.55pt;width:190.5pt;height:30.9pt;z-index:251676672" coordorigin="3765,10140" coordsize="3495,618">
            <v:shape id="_x0000_s1032" type="#_x0000_t32" style="position:absolute;left:3765;top:10425;width:960;height:1;flip:x" o:connectortype="straight" wrapcoords="207 3 1 6 1 11 207 14 211 14 220 10 220 7 211 3 207 3" strokecolor="#7030a0" strokeweight="3pt">
              <v:stroke endarrow="block"/>
            </v:shape>
            <v:rect id="_x0000_s1033" style="position:absolute;left:4725;top:10140;width:1995;height:618" strokecolor="#7030a0" strokeweight="3pt">
              <v:textbox>
                <w:txbxContent>
                  <w:p w:rsidR="00284E48" w:rsidRPr="00747993" w:rsidRDefault="00284E48" w:rsidP="00E55B6D">
                    <w:pPr>
                      <w:jc w:val="center"/>
                      <w:rPr>
                        <w:b/>
                        <w:color w:val="7030A0"/>
                        <w:sz w:val="18"/>
                      </w:rPr>
                    </w:pPr>
                    <w:r w:rsidRPr="00747993">
                      <w:rPr>
                        <w:b/>
                        <w:color w:val="7030A0"/>
                        <w:sz w:val="18"/>
                      </w:rPr>
                      <w:t>Project Application for Funding</w:t>
                    </w:r>
                  </w:p>
                </w:txbxContent>
              </v:textbox>
            </v:rect>
            <v:shape id="_x0000_s1034" type="#_x0000_t32" style="position:absolute;left:6720;top:10426;width:540;height:1;flip:x y" o:connectortype="straight" strokecolor="#7030a0" strokeweight="3pt"/>
          </v:group>
        </w:pict>
      </w:r>
      <w:r w:rsidR="00747993">
        <w:tab/>
      </w:r>
      <w:r w:rsidR="00747993">
        <w:tab/>
      </w:r>
      <w:r w:rsidR="00747993">
        <w:tab/>
      </w:r>
      <w:r w:rsidR="00747993">
        <w:tab/>
      </w:r>
      <w:r w:rsidR="00747993">
        <w:tab/>
      </w:r>
    </w:p>
    <w:p w:rsidR="00612A99" w:rsidRDefault="00612A99" w:rsidP="00F94024">
      <w:pPr>
        <w:spacing w:before="240"/>
        <w:jc w:val="both"/>
      </w:pPr>
    </w:p>
    <w:p w:rsidR="00612A99" w:rsidRDefault="003F14C4" w:rsidP="00F94024">
      <w:pPr>
        <w:spacing w:before="240"/>
        <w:jc w:val="both"/>
      </w:pPr>
      <w:r>
        <w:rPr>
          <w:noProof/>
          <w:lang w:eastAsia="en-GB"/>
        </w:rPr>
        <w:pict>
          <v:group id="_x0000_s1042" style="position:absolute;left:0;text-align:left;margin-left:-31.15pt;margin-top:1.85pt;width:169.5pt;height:63pt;z-index:251692032" coordorigin="720,10950" coordsize="3390,1260">
            <v:shape id="_x0000_s1043" type="#_x0000_t32" style="position:absolute;left:2671;top:11886;width:0;height:324" o:connectortype="straight" strokecolor="red" strokeweight="3pt">
              <v:stroke endarrow="block"/>
            </v:shape>
            <v:shape id="_x0000_s1044" type="#_x0000_t32" style="position:absolute;left:2070;top:10953;width:1;height:285;flip:y" o:connectortype="straight" strokecolor="red" strokeweight="3pt">
              <v:stroke endarrow="block"/>
            </v:shape>
            <v:rect id="_x0000_s1045" style="position:absolute;left:720;top:11238;width:3390;height:648" strokecolor="red" strokeweight="3pt">
              <v:textbox>
                <w:txbxContent>
                  <w:p w:rsidR="00284E48" w:rsidRDefault="00284E48" w:rsidP="00527433">
                    <w:pPr>
                      <w:jc w:val="center"/>
                      <w:rPr>
                        <w:b/>
                        <w:color w:val="FF0000"/>
                        <w:sz w:val="18"/>
                      </w:rPr>
                    </w:pPr>
                    <w:r>
                      <w:rPr>
                        <w:b/>
                        <w:color w:val="FF0000"/>
                        <w:sz w:val="18"/>
                      </w:rPr>
                      <w:t>KMCP provides advice/reviews all applications prior to REF decision</w:t>
                    </w:r>
                  </w:p>
                  <w:p w:rsidR="00284E48" w:rsidRPr="00E55B6D" w:rsidRDefault="00284E48">
                    <w:pPr>
                      <w:rPr>
                        <w:b/>
                        <w:color w:val="FF0000"/>
                        <w:sz w:val="18"/>
                      </w:rPr>
                    </w:pPr>
                  </w:p>
                </w:txbxContent>
              </v:textbox>
            </v:rect>
            <v:shape id="_x0000_s1046" type="#_x0000_t32" style="position:absolute;left:2070;top:11886;width:1;height:324;flip:x" o:connectortype="straight" strokecolor="red" strokeweight="3pt"/>
            <v:shape id="_x0000_s1047" type="#_x0000_t32" style="position:absolute;left:2671;top:10950;width:0;height:285;flip:y" o:connectortype="straight" strokecolor="red" strokeweight="3pt"/>
          </v:group>
        </w:pict>
      </w:r>
    </w:p>
    <w:p w:rsidR="00612A99" w:rsidRDefault="003F14C4" w:rsidP="00F94024">
      <w:pPr>
        <w:spacing w:before="240"/>
        <w:jc w:val="both"/>
      </w:pPr>
      <w:r>
        <w:rPr>
          <w:noProof/>
          <w:lang w:eastAsia="en-GB"/>
        </w:rPr>
        <w:pict>
          <v:group id="_x0000_s1053" style="position:absolute;left:0;text-align:left;margin-left:143.4pt;margin-top:16.35pt;width:246.05pt;height:168.75pt;z-index:251702272" coordorigin="4410,11805" coordsize="5386,3495">
            <v:shape id="_x0000_s1054" type="#_x0000_t32" style="position:absolute;left:8550;top:15028;width:1245;height:0" o:connectortype="straight" strokecolor="#f79646 [3209]" strokeweight="3pt"/>
            <v:shape id="_x0000_s1055" type="#_x0000_t32" style="position:absolute;left:9795;top:11805;width:1;height:3225;flip:y" o:connectortype="straight" strokecolor="#f79646 [3209]" strokeweight="3pt">
              <v:stroke endarrow="block"/>
            </v:shape>
            <v:rect id="_x0000_s1056" style="position:absolute;left:5010;top:14700;width:3540;height:600" strokecolor="#f79646 [3209]" strokeweight="3pt">
              <v:textbox>
                <w:txbxContent>
                  <w:p w:rsidR="00284E48" w:rsidRPr="00604253" w:rsidRDefault="00711610" w:rsidP="00604253">
                    <w:pPr>
                      <w:jc w:val="center"/>
                      <w:rPr>
                        <w:b/>
                        <w:color w:val="F79646" w:themeColor="accent6"/>
                        <w:sz w:val="18"/>
                      </w:rPr>
                    </w:pPr>
                    <w:r w:rsidRPr="00711610">
                      <w:rPr>
                        <w:b/>
                        <w:color w:val="F79646" w:themeColor="accent6"/>
                        <w:sz w:val="16"/>
                        <w:szCs w:val="16"/>
                      </w:rPr>
                      <w:t>Funding Released based on KMCP</w:t>
                    </w:r>
                    <w:r w:rsidR="00284E48" w:rsidRPr="00604253">
                      <w:rPr>
                        <w:b/>
                        <w:color w:val="F79646" w:themeColor="accent6"/>
                        <w:sz w:val="18"/>
                      </w:rPr>
                      <w:t xml:space="preserve"> </w:t>
                    </w:r>
                    <w:r w:rsidRPr="00711610">
                      <w:rPr>
                        <w:b/>
                        <w:color w:val="F79646" w:themeColor="accent6"/>
                        <w:sz w:val="16"/>
                        <w:szCs w:val="16"/>
                      </w:rPr>
                      <w:t>Decision</w:t>
                    </w:r>
                    <w:r w:rsidR="009B0970" w:rsidRPr="009B0970">
                      <w:rPr>
                        <w:b/>
                        <w:color w:val="F79646" w:themeColor="accent6"/>
                        <w:sz w:val="16"/>
                        <w:szCs w:val="16"/>
                      </w:rPr>
                      <w:t xml:space="preserve"> in line with agreed criteria</w:t>
                    </w:r>
                  </w:p>
                </w:txbxContent>
              </v:textbox>
            </v:rect>
            <v:shape id="_x0000_s1057" type="#_x0000_t32" style="position:absolute;left:4410;top:15027;width:600;height:0;flip:x" o:connectortype="straight" strokecolor="#f79646 [3209]" strokeweight="3pt"/>
          </v:group>
        </w:pict>
      </w:r>
      <w:r>
        <w:rPr>
          <w:noProof/>
          <w:lang w:eastAsia="en-GB"/>
        </w:rPr>
        <w:pict>
          <v:group id="_x0000_s1048" style="position:absolute;left:0;text-align:left;margin-left:150.2pt;margin-top:10.35pt;width:189.15pt;height:76.1pt;z-index:251697152" coordorigin="3870,11640" coordsize="4335,1410">
            <v:shape id="_x0000_s1049" type="#_x0000_t32" style="position:absolute;left:8205;top:11640;width:0;height:1050" o:connectortype="straight" strokecolor="#f79646 [3209]" strokeweight="3pt"/>
            <v:shape id="_x0000_s1050" type="#_x0000_t32" style="position:absolute;left:3870;top:12688;width:810;height:2;flip:x" o:connectortype="straight" strokecolor="#f79646 [3209]" strokeweight="3pt">
              <v:stroke endarrow="block"/>
            </v:shape>
            <v:rect id="_x0000_s1051" style="position:absolute;left:4680;top:12285;width:2220;height:765" strokecolor="#f79646 [3209]" strokeweight="3pt">
              <v:textbox>
                <w:txbxContent>
                  <w:p w:rsidR="00284E48" w:rsidRPr="00604253" w:rsidRDefault="00284E48" w:rsidP="00604253">
                    <w:pPr>
                      <w:jc w:val="center"/>
                      <w:rPr>
                        <w:b/>
                        <w:color w:val="F79646" w:themeColor="accent6"/>
                        <w:sz w:val="18"/>
                      </w:rPr>
                    </w:pPr>
                    <w:r w:rsidRPr="00604253">
                      <w:rPr>
                        <w:b/>
                        <w:color w:val="F79646" w:themeColor="accent6"/>
                        <w:sz w:val="18"/>
                      </w:rPr>
                      <w:t>Project Application for Funding</w:t>
                    </w:r>
                  </w:p>
                </w:txbxContent>
              </v:textbox>
            </v:rect>
            <v:shape id="_x0000_s1052" type="#_x0000_t32" style="position:absolute;left:6900;top:12687;width:1305;height:0;flip:x" o:connectortype="straight" strokecolor="#f79646 [3209]" strokeweight="3pt"/>
          </v:group>
        </w:pict>
      </w:r>
    </w:p>
    <w:p w:rsidR="00612A99" w:rsidRDefault="003F14C4" w:rsidP="00F94024">
      <w:pPr>
        <w:spacing w:before="240"/>
        <w:jc w:val="both"/>
      </w:pPr>
      <w:r>
        <w:rPr>
          <w:noProof/>
          <w:lang w:eastAsia="en-GB"/>
        </w:rPr>
        <w:pict>
          <v:rect id="_x0000_s1028" style="position:absolute;left:0;text-align:left;margin-left:-31.15pt;margin-top:18.1pt;width:174.6pt;height:43.7pt;z-index:251660288" strokecolor="red" strokeweight="3pt">
            <v:textbox style="mso-next-textbox:#_x0000_s1028">
              <w:txbxContent>
                <w:p w:rsidR="00284E48" w:rsidRPr="00527433" w:rsidRDefault="00284E48" w:rsidP="001869B9">
                  <w:pPr>
                    <w:jc w:val="center"/>
                    <w:rPr>
                      <w:b/>
                      <w:color w:val="FF0000"/>
                      <w:sz w:val="28"/>
                    </w:rPr>
                  </w:pPr>
                  <w:r>
                    <w:rPr>
                      <w:b/>
                      <w:color w:val="FF0000"/>
                      <w:sz w:val="28"/>
                    </w:rPr>
                    <w:t>Kype Muir C</w:t>
                  </w:r>
                  <w:r w:rsidRPr="00527433">
                    <w:rPr>
                      <w:b/>
                      <w:color w:val="FF0000"/>
                      <w:sz w:val="28"/>
                    </w:rPr>
                    <w:t>ommunity</w:t>
                  </w:r>
                  <w:r>
                    <w:rPr>
                      <w:b/>
                      <w:color w:val="FF0000"/>
                      <w:sz w:val="28"/>
                    </w:rPr>
                    <w:t xml:space="preserve"> Partnership  </w:t>
                  </w:r>
                </w:p>
              </w:txbxContent>
            </v:textbox>
          </v:rect>
        </w:pict>
      </w:r>
      <w:r w:rsidR="00747993">
        <w:tab/>
      </w:r>
      <w:r w:rsidR="00747993">
        <w:tab/>
      </w:r>
      <w:r w:rsidR="00747993">
        <w:tab/>
      </w:r>
      <w:r w:rsidR="00747993">
        <w:tab/>
      </w:r>
      <w:r w:rsidR="00747993">
        <w:tab/>
      </w:r>
      <w:r w:rsidR="00747993">
        <w:tab/>
      </w:r>
    </w:p>
    <w:p w:rsidR="00612A99" w:rsidRDefault="00612A99" w:rsidP="00F94024">
      <w:pPr>
        <w:spacing w:before="240"/>
        <w:jc w:val="both"/>
      </w:pPr>
    </w:p>
    <w:p w:rsidR="00612A99" w:rsidRDefault="003F14C4" w:rsidP="00F94024">
      <w:pPr>
        <w:spacing w:before="240"/>
        <w:jc w:val="both"/>
      </w:pPr>
      <w:r>
        <w:rPr>
          <w:noProof/>
          <w:lang w:eastAsia="en-GB"/>
        </w:rPr>
        <w:pict>
          <v:shape id="_x0000_s1030" type="#_x0000_t32" style="position:absolute;left:0;text-align:left;margin-left:56.6pt;margin-top:18.4pt;width:.05pt;height:31.25pt;z-index:251670528" o:connectortype="straight" strokecolor="#f79646 [3209]" strokeweight="3pt">
            <v:stroke endarrow="block"/>
          </v:shape>
        </w:pict>
      </w:r>
    </w:p>
    <w:p w:rsidR="00612A99" w:rsidRDefault="00612A99" w:rsidP="00F94024">
      <w:pPr>
        <w:spacing w:before="240"/>
        <w:jc w:val="both"/>
      </w:pPr>
    </w:p>
    <w:p w:rsidR="00690E69" w:rsidRDefault="003F14C4" w:rsidP="00F94024">
      <w:pPr>
        <w:spacing w:before="240"/>
        <w:jc w:val="both"/>
      </w:pPr>
      <w:r>
        <w:rPr>
          <w:noProof/>
          <w:lang w:eastAsia="en-GB"/>
        </w:rPr>
        <w:pict>
          <v:oval id="_x0000_s1029" style="position:absolute;left:0;text-align:left;margin-left:-26.65pt;margin-top:4.55pt;width:165pt;height:97.3pt;z-index:251661312" strokeweight="3pt">
            <v:textbox>
              <w:txbxContent>
                <w:p w:rsidR="00284E48" w:rsidRPr="00284E48" w:rsidRDefault="00284E48" w:rsidP="001869B9">
                  <w:pPr>
                    <w:jc w:val="center"/>
                    <w:rPr>
                      <w:b/>
                      <w:sz w:val="28"/>
                      <w:szCs w:val="28"/>
                    </w:rPr>
                  </w:pPr>
                  <w:r w:rsidRPr="00284E48">
                    <w:rPr>
                      <w:b/>
                      <w:sz w:val="28"/>
                      <w:szCs w:val="28"/>
                    </w:rPr>
                    <w:t>Kype Muir Wind Farm Community Fund</w:t>
                  </w:r>
                </w:p>
              </w:txbxContent>
            </v:textbox>
          </v:oval>
        </w:pict>
      </w:r>
    </w:p>
    <w:p w:rsidR="00612A99" w:rsidRDefault="00612A99" w:rsidP="00F94024">
      <w:pPr>
        <w:spacing w:before="240"/>
        <w:jc w:val="both"/>
      </w:pPr>
    </w:p>
    <w:p w:rsidR="00765EE9" w:rsidRDefault="005C2A5C" w:rsidP="00765EE9">
      <w:pPr>
        <w:spacing w:before="240"/>
        <w:ind w:left="720"/>
        <w:jc w:val="both"/>
        <w:rPr>
          <w:b/>
        </w:rPr>
      </w:pPr>
      <w:r w:rsidRPr="003D3753">
        <w:rPr>
          <w:b/>
        </w:rPr>
        <w:t>High C</w:t>
      </w:r>
    </w:p>
    <w:p w:rsidR="00765EE9" w:rsidRDefault="00765EE9" w:rsidP="00765EE9">
      <w:pPr>
        <w:spacing w:before="240"/>
        <w:ind w:left="720"/>
        <w:jc w:val="both"/>
        <w:rPr>
          <w:b/>
        </w:rPr>
      </w:pPr>
    </w:p>
    <w:p w:rsidR="00F94024" w:rsidRPr="003D3753" w:rsidRDefault="00765EE9" w:rsidP="004F1754">
      <w:pPr>
        <w:numPr>
          <w:ilvl w:val="0"/>
          <w:numId w:val="1"/>
        </w:numPr>
        <w:spacing w:before="240"/>
        <w:jc w:val="both"/>
        <w:rPr>
          <w:b/>
        </w:rPr>
      </w:pPr>
      <w:r>
        <w:rPr>
          <w:b/>
        </w:rPr>
        <w:lastRenderedPageBreak/>
        <w:t>Kype Muir</w:t>
      </w:r>
      <w:r w:rsidR="005C2A5C" w:rsidRPr="003D3753">
        <w:rPr>
          <w:b/>
        </w:rPr>
        <w:t xml:space="preserve"> Wind Farm</w:t>
      </w:r>
      <w:r w:rsidR="00E00BB9" w:rsidRPr="003D3753">
        <w:rPr>
          <w:b/>
        </w:rPr>
        <w:t xml:space="preserve"> Community Fund (“</w:t>
      </w:r>
      <w:r>
        <w:rPr>
          <w:b/>
        </w:rPr>
        <w:t>KM</w:t>
      </w:r>
      <w:r w:rsidR="00E00BB9" w:rsidRPr="003D3753">
        <w:rPr>
          <w:b/>
        </w:rPr>
        <w:t>CF”)</w:t>
      </w:r>
    </w:p>
    <w:p w:rsidR="00E00BB9" w:rsidRDefault="00E00BB9" w:rsidP="004F1754">
      <w:pPr>
        <w:numPr>
          <w:ilvl w:val="1"/>
          <w:numId w:val="1"/>
        </w:numPr>
        <w:spacing w:before="240"/>
        <w:jc w:val="both"/>
      </w:pPr>
      <w:r>
        <w:t xml:space="preserve">It is a fundamental requirement of any fund administration that it is managed appropriately with full public accountability and transparency and serves the </w:t>
      </w:r>
      <w:r w:rsidR="008F0E92">
        <w:t>“</w:t>
      </w:r>
      <w:r>
        <w:t>Purpose</w:t>
      </w:r>
      <w:r w:rsidR="008F0E92">
        <w:t>”</w:t>
      </w:r>
      <w:r>
        <w:t xml:space="preserve"> – which is to ensure funding is directed into community projects and initiatives that are supported by and</w:t>
      </w:r>
      <w:r w:rsidR="008F0E92">
        <w:t xml:space="preserve"> wholly</w:t>
      </w:r>
      <w:r>
        <w:t xml:space="preserve"> for the benefit of the Communities. </w:t>
      </w:r>
    </w:p>
    <w:p w:rsidR="00E00BB9" w:rsidRDefault="00E00BB9" w:rsidP="004F1754">
      <w:pPr>
        <w:numPr>
          <w:ilvl w:val="1"/>
          <w:numId w:val="1"/>
        </w:numPr>
        <w:spacing w:before="240"/>
        <w:jc w:val="both"/>
      </w:pPr>
      <w:r>
        <w:t xml:space="preserve">We require that </w:t>
      </w:r>
      <w:r w:rsidR="002A3D05">
        <w:t xml:space="preserve">before </w:t>
      </w:r>
      <w:r>
        <w:t xml:space="preserve">any such body </w:t>
      </w:r>
      <w:r w:rsidR="00B771E1">
        <w:t>begins operating and makes decisions on grant applications using funding</w:t>
      </w:r>
      <w:r w:rsidR="002A3D05">
        <w:t xml:space="preserve"> from </w:t>
      </w:r>
      <w:r w:rsidR="00765EE9">
        <w:t>Kype Muir</w:t>
      </w:r>
      <w:r w:rsidR="002A3D05">
        <w:t xml:space="preserve"> Wind Farm that it is </w:t>
      </w:r>
      <w:r>
        <w:t>approv</w:t>
      </w:r>
      <w:r w:rsidR="002A3D05">
        <w:t>ed by both</w:t>
      </w:r>
      <w:r w:rsidR="00765EE9">
        <w:t xml:space="preserve"> SL</w:t>
      </w:r>
      <w:r>
        <w:t xml:space="preserve">C </w:t>
      </w:r>
      <w:r w:rsidR="002A3D05">
        <w:t>and</w:t>
      </w:r>
      <w:r>
        <w:t xml:space="preserve"> Banks Renewables.</w:t>
      </w:r>
    </w:p>
    <w:p w:rsidR="002A3D05" w:rsidRDefault="008F0E92" w:rsidP="004F1754">
      <w:pPr>
        <w:numPr>
          <w:ilvl w:val="1"/>
          <w:numId w:val="1"/>
        </w:numPr>
        <w:spacing w:before="240"/>
        <w:jc w:val="both"/>
      </w:pPr>
      <w:r>
        <w:t>We propose</w:t>
      </w:r>
      <w:r w:rsidR="002A3D05">
        <w:t xml:space="preserve"> that the default position for fund management </w:t>
      </w:r>
      <w:proofErr w:type="spellStart"/>
      <w:r w:rsidR="002A3D05">
        <w:t>outwith</w:t>
      </w:r>
      <w:proofErr w:type="spellEnd"/>
      <w:r w:rsidR="002A3D05">
        <w:t xml:space="preserve"> the REF commitment is the </w:t>
      </w:r>
      <w:r w:rsidR="00765EE9">
        <w:t>KM</w:t>
      </w:r>
      <w:r w:rsidR="002A3D05">
        <w:t xml:space="preserve">CF. </w:t>
      </w:r>
    </w:p>
    <w:p w:rsidR="002A3D05" w:rsidRDefault="002A3D05" w:rsidP="004F1754">
      <w:pPr>
        <w:numPr>
          <w:ilvl w:val="1"/>
          <w:numId w:val="1"/>
        </w:numPr>
        <w:spacing w:before="240"/>
        <w:jc w:val="both"/>
      </w:pPr>
      <w:r>
        <w:t xml:space="preserve">The </w:t>
      </w:r>
      <w:r w:rsidR="00765EE9">
        <w:t>KM</w:t>
      </w:r>
      <w:r>
        <w:t xml:space="preserve">CF would be a ring fenced administrative fund set up by Banks Renewables on behalf of the </w:t>
      </w:r>
      <w:r w:rsidR="008F0E92">
        <w:t>C</w:t>
      </w:r>
      <w:r>
        <w:t xml:space="preserve">ommunities and managed by an independent </w:t>
      </w:r>
      <w:r w:rsidR="00167CE2">
        <w:t xml:space="preserve">community foundation </w:t>
      </w:r>
      <w:r>
        <w:t>that works with Banks Group across the UK on this aspect of our business.</w:t>
      </w:r>
      <w:r w:rsidR="008350C2">
        <w:t xml:space="preserve">  An administrative charge of between 5 and 10% depending on the level of service required will be negotiated with the charitable foundation managing the Fund.</w:t>
      </w:r>
    </w:p>
    <w:p w:rsidR="00C25A86" w:rsidRDefault="00C25A86" w:rsidP="004F1754">
      <w:pPr>
        <w:numPr>
          <w:ilvl w:val="1"/>
          <w:numId w:val="1"/>
        </w:numPr>
        <w:spacing w:before="240"/>
        <w:jc w:val="both"/>
      </w:pPr>
      <w:r>
        <w:t xml:space="preserve">The </w:t>
      </w:r>
      <w:r w:rsidR="00765EE9">
        <w:t>KM</w:t>
      </w:r>
      <w:r>
        <w:t>CF would only administer money on behalf of the Communities and would release funding</w:t>
      </w:r>
      <w:r w:rsidR="008F0E92">
        <w:t>, if</w:t>
      </w:r>
      <w:r>
        <w:t xml:space="preserve"> available</w:t>
      </w:r>
      <w:r w:rsidR="008F0E92">
        <w:t>,</w:t>
      </w:r>
      <w:r w:rsidR="00284E48">
        <w:t xml:space="preserve"> as directed by the KMCP</w:t>
      </w:r>
      <w:r w:rsidR="009B0970">
        <w:t xml:space="preserve"> in line with the agreed criteria for the Fund and</w:t>
      </w:r>
      <w:r w:rsidR="008F0E92">
        <w:t xml:space="preserve"> based on </w:t>
      </w:r>
      <w:proofErr w:type="spellStart"/>
      <w:r w:rsidR="008F0E92">
        <w:t>minuted</w:t>
      </w:r>
      <w:proofErr w:type="spellEnd"/>
      <w:r w:rsidR="008F0E92">
        <w:t xml:space="preserve"> decisions made by </w:t>
      </w:r>
      <w:r w:rsidR="00284E48">
        <w:t>KMCP</w:t>
      </w:r>
      <w:r w:rsidR="008F0E92">
        <w:t xml:space="preserve"> at a properly constituted meeting of the </w:t>
      </w:r>
      <w:r w:rsidR="00284E48">
        <w:t>KMCP</w:t>
      </w:r>
      <w:r w:rsidR="008F0E92">
        <w:t xml:space="preserve"> Management </w:t>
      </w:r>
      <w:r w:rsidR="00284E48">
        <w:t>Committee</w:t>
      </w:r>
      <w:r>
        <w:t>.</w:t>
      </w:r>
    </w:p>
    <w:p w:rsidR="00A22215" w:rsidRDefault="00C25A86" w:rsidP="004F1754">
      <w:pPr>
        <w:numPr>
          <w:ilvl w:val="1"/>
          <w:numId w:val="1"/>
        </w:numPr>
        <w:spacing w:before="240"/>
        <w:jc w:val="both"/>
      </w:pPr>
      <w:r>
        <w:t xml:space="preserve">It may be that the Communities decide that the </w:t>
      </w:r>
      <w:r w:rsidR="00284E48">
        <w:t>KMCP</w:t>
      </w:r>
      <w:r>
        <w:t xml:space="preserve"> develops into a corporate entity that can become a</w:t>
      </w:r>
      <w:r w:rsidR="00A22215">
        <w:t>n</w:t>
      </w:r>
      <w:r>
        <w:t xml:space="preserve"> “appropriate body” for the purpose of fund administration. Banks Renewables</w:t>
      </w:r>
      <w:r w:rsidR="00A22215">
        <w:t xml:space="preserve">, subject to the requirements for fund administration as set out above, gives the Communities the option to transfer fund administration from </w:t>
      </w:r>
      <w:r w:rsidR="00765EE9">
        <w:t>KM</w:t>
      </w:r>
      <w:r w:rsidR="00A22215">
        <w:t>CF should they so wish.</w:t>
      </w:r>
    </w:p>
    <w:p w:rsidR="00C25A86" w:rsidRDefault="00A22215" w:rsidP="004F1754">
      <w:pPr>
        <w:numPr>
          <w:ilvl w:val="1"/>
          <w:numId w:val="1"/>
        </w:numPr>
        <w:spacing w:before="240"/>
        <w:jc w:val="both"/>
      </w:pPr>
      <w:r>
        <w:t xml:space="preserve">At all times Banks Renewables and </w:t>
      </w:r>
      <w:r w:rsidR="00BA397E">
        <w:t>SL</w:t>
      </w:r>
      <w:r>
        <w:t>C would retain the right to step in and effect change to such administrative arrangements where they are not effectively directing funding to the Communities</w:t>
      </w:r>
      <w:r w:rsidR="002D7ED2">
        <w:t>’</w:t>
      </w:r>
      <w:r>
        <w:t xml:space="preserve"> priority projects</w:t>
      </w:r>
      <w:r w:rsidR="002D7ED2">
        <w:t xml:space="preserve"> and cannot evidence appropriate consultation and rigour in decision making</w:t>
      </w:r>
      <w:r>
        <w:t>.</w:t>
      </w:r>
    </w:p>
    <w:p w:rsidR="00A22215" w:rsidRPr="003D3753" w:rsidRDefault="00A3603D" w:rsidP="00A22215">
      <w:pPr>
        <w:numPr>
          <w:ilvl w:val="0"/>
          <w:numId w:val="1"/>
        </w:numPr>
        <w:spacing w:before="240"/>
        <w:jc w:val="both"/>
        <w:rPr>
          <w:b/>
        </w:rPr>
      </w:pPr>
      <w:r>
        <w:rPr>
          <w:b/>
        </w:rPr>
        <w:t>KMCP</w:t>
      </w:r>
    </w:p>
    <w:p w:rsidR="00D86A5C" w:rsidRDefault="00A22215" w:rsidP="00CA0F89">
      <w:pPr>
        <w:numPr>
          <w:ilvl w:val="1"/>
          <w:numId w:val="1"/>
        </w:numPr>
        <w:spacing w:before="240"/>
        <w:jc w:val="both"/>
      </w:pPr>
      <w:r>
        <w:t xml:space="preserve">The key to the success of the </w:t>
      </w:r>
      <w:r w:rsidR="00284E48">
        <w:t>KMCP</w:t>
      </w:r>
      <w:r>
        <w:t xml:space="preserve"> will be that it has the full support of the four communities that it represents</w:t>
      </w:r>
      <w:r w:rsidR="00C0182F">
        <w:t>.</w:t>
      </w:r>
      <w:r w:rsidR="00D86A5C">
        <w:t xml:space="preserve"> Discussion will need to take place</w:t>
      </w:r>
      <w:r w:rsidR="00865AFC">
        <w:t xml:space="preserve"> between the Communities, </w:t>
      </w:r>
      <w:r w:rsidR="00D86A5C">
        <w:t xml:space="preserve">and agreement reached on fund prioritisation, the split of funding between the individual communities and how </w:t>
      </w:r>
      <w:r w:rsidR="00977970">
        <w:t xml:space="preserve">the </w:t>
      </w:r>
      <w:r w:rsidR="00284E48">
        <w:t>KMCP</w:t>
      </w:r>
      <w:r w:rsidR="00977970">
        <w:t xml:space="preserve"> operates month to month and year to year.</w:t>
      </w:r>
    </w:p>
    <w:p w:rsidR="00977970" w:rsidRDefault="00977970" w:rsidP="00CA0F89">
      <w:pPr>
        <w:numPr>
          <w:ilvl w:val="1"/>
          <w:numId w:val="1"/>
        </w:numPr>
        <w:spacing w:before="240"/>
        <w:jc w:val="both"/>
      </w:pPr>
      <w:r>
        <w:t xml:space="preserve">It must be democratic and </w:t>
      </w:r>
      <w:r w:rsidR="00865AFC">
        <w:t xml:space="preserve">be able to </w:t>
      </w:r>
      <w:r w:rsidR="009F6600">
        <w:t xml:space="preserve">provide </w:t>
      </w:r>
      <w:r>
        <w:t xml:space="preserve">evidence </w:t>
      </w:r>
      <w:r w:rsidR="009F6600">
        <w:t xml:space="preserve">that </w:t>
      </w:r>
      <w:r w:rsidR="00865AFC">
        <w:t xml:space="preserve">it </w:t>
      </w:r>
      <w:r>
        <w:t xml:space="preserve">is has a community mandate and is truly representative of the Communities. </w:t>
      </w:r>
    </w:p>
    <w:p w:rsidR="00C0182F" w:rsidRDefault="00D86A5C" w:rsidP="00CA0F89">
      <w:pPr>
        <w:numPr>
          <w:ilvl w:val="1"/>
          <w:numId w:val="1"/>
        </w:numPr>
        <w:spacing w:before="240"/>
        <w:jc w:val="both"/>
      </w:pPr>
      <w:r>
        <w:t>It is require</w:t>
      </w:r>
      <w:r w:rsidR="007356F2">
        <w:t>d, as a condition of its articles of association, that the</w:t>
      </w:r>
      <w:r w:rsidR="00B771E1">
        <w:t xml:space="preserve"> </w:t>
      </w:r>
      <w:r w:rsidR="00284E48">
        <w:t>KMCP</w:t>
      </w:r>
      <w:r>
        <w:t xml:space="preserve"> fully consults with the </w:t>
      </w:r>
      <w:r w:rsidR="00D64CD5">
        <w:t>C</w:t>
      </w:r>
      <w:r>
        <w:t>ommunities on its key priorities year to year</w:t>
      </w:r>
      <w:r w:rsidR="00977970">
        <w:t xml:space="preserve"> and</w:t>
      </w:r>
      <w:r>
        <w:t xml:space="preserve"> </w:t>
      </w:r>
      <w:r w:rsidR="00865AFC">
        <w:t xml:space="preserve">advertises </w:t>
      </w:r>
      <w:r>
        <w:t>what funding is available</w:t>
      </w:r>
      <w:r w:rsidR="00977970">
        <w:t>. Annual reporting on all grants made would be required.</w:t>
      </w:r>
    </w:p>
    <w:p w:rsidR="001116F6" w:rsidRDefault="00C0182F" w:rsidP="00CA0F89">
      <w:pPr>
        <w:numPr>
          <w:ilvl w:val="1"/>
          <w:numId w:val="1"/>
        </w:numPr>
        <w:spacing w:before="240"/>
        <w:jc w:val="both"/>
      </w:pPr>
      <w:r>
        <w:t xml:space="preserve">We </w:t>
      </w:r>
      <w:r w:rsidR="00977970">
        <w:t>will encourage the Communities to develop Community Development Plans</w:t>
      </w:r>
      <w:r w:rsidR="00FF39BC">
        <w:t xml:space="preserve"> (“CDP”)</w:t>
      </w:r>
      <w:r w:rsidR="00977970">
        <w:t>; and application</w:t>
      </w:r>
      <w:r w:rsidR="00BA397E">
        <w:t>s</w:t>
      </w:r>
      <w:r w:rsidR="00977970">
        <w:t xml:space="preserve"> to the </w:t>
      </w:r>
      <w:r w:rsidR="00284E48">
        <w:t>KMCP</w:t>
      </w:r>
      <w:r w:rsidR="00977970">
        <w:t xml:space="preserve"> or REF for project funding should be </w:t>
      </w:r>
      <w:r w:rsidR="00FF39BC">
        <w:lastRenderedPageBreak/>
        <w:t xml:space="preserve">prioritised where a project is </w:t>
      </w:r>
      <w:r w:rsidR="00D64CD5">
        <w:t xml:space="preserve">named </w:t>
      </w:r>
      <w:r w:rsidR="00FF39BC">
        <w:t>within an approved CDP</w:t>
      </w:r>
      <w:r w:rsidR="00D64CD5">
        <w:t xml:space="preserve"> or is part of a key strategy within a CDP</w:t>
      </w:r>
      <w:r w:rsidR="00FF39BC">
        <w:t>.</w:t>
      </w:r>
    </w:p>
    <w:p w:rsidR="00805513" w:rsidRDefault="00DD76D1" w:rsidP="00CA0F89">
      <w:pPr>
        <w:numPr>
          <w:ilvl w:val="1"/>
          <w:numId w:val="1"/>
        </w:numPr>
        <w:spacing w:before="240"/>
        <w:jc w:val="both"/>
      </w:pPr>
      <w:r>
        <w:t xml:space="preserve">The proposal </w:t>
      </w:r>
      <w:r w:rsidR="006F49A2">
        <w:t xml:space="preserve">includes a commitment on behalf of Banks Renewables, the Kype Muir Community Partnership and South Lanarkshire Council to implement a </w:t>
      </w:r>
      <w:r w:rsidR="009C23F0">
        <w:t xml:space="preserve">focused </w:t>
      </w:r>
      <w:r w:rsidR="0002182A">
        <w:t>employability</w:t>
      </w:r>
      <w:r w:rsidR="006F49A2">
        <w:t xml:space="preserve"> scheme under the banner of ‘</w:t>
      </w:r>
      <w:r>
        <w:t>Connect 2</w:t>
      </w:r>
      <w:r w:rsidR="006F49A2">
        <w:t xml:space="preserve"> Renewables’ </w:t>
      </w:r>
      <w:r>
        <w:t>covering</w:t>
      </w:r>
      <w:r w:rsidR="006F49A2">
        <w:t xml:space="preserve"> the first 5 years of the development. This would i</w:t>
      </w:r>
      <w:r>
        <w:t>nvolve a £2,500 per MW per annum</w:t>
      </w:r>
      <w:r w:rsidR="006F49A2">
        <w:t xml:space="preserve"> commitment ove</w:t>
      </w:r>
      <w:r>
        <w:t>r those first 5 years to be utilised in the improvement</w:t>
      </w:r>
      <w:r w:rsidR="006F49A2">
        <w:t xml:space="preserve"> </w:t>
      </w:r>
      <w:r>
        <w:t xml:space="preserve">of </w:t>
      </w:r>
      <w:r w:rsidR="006F49A2">
        <w:t xml:space="preserve">employability in the areas covered by the Kype Muir Community Partnership. </w:t>
      </w:r>
      <w:r>
        <w:t xml:space="preserve">£1250 would come from the REF and £1250 would come from the Kype Muir Community Partnership’s guaranteed minimum. </w:t>
      </w:r>
      <w:r w:rsidR="006F49A2">
        <w:t xml:space="preserve">The scheme itself would be run and administered by South Lanarkshire Council who will be obliged to develop a detailed proposal to be agreed with the Kype Muir Community Partnership prior to its implementation. </w:t>
      </w:r>
    </w:p>
    <w:p w:rsidR="00C0182F" w:rsidRDefault="00BA397E" w:rsidP="00CA0F89">
      <w:pPr>
        <w:numPr>
          <w:ilvl w:val="1"/>
          <w:numId w:val="1"/>
        </w:numPr>
        <w:spacing w:before="240"/>
        <w:jc w:val="both"/>
      </w:pPr>
      <w:r>
        <w:t xml:space="preserve">The Kype Muir Community Partnership, with the support of </w:t>
      </w:r>
      <w:r w:rsidR="00284E48">
        <w:t>South Lanarkshire</w:t>
      </w:r>
      <w:r>
        <w:t xml:space="preserve"> Council and </w:t>
      </w:r>
      <w:r w:rsidR="00284E48">
        <w:t xml:space="preserve">the </w:t>
      </w:r>
      <w:r>
        <w:t>Kype Muir Wind Farm</w:t>
      </w:r>
      <w:r w:rsidR="00FF39BC">
        <w:t xml:space="preserve"> </w:t>
      </w:r>
      <w:r>
        <w:t>committed funding</w:t>
      </w:r>
      <w:r w:rsidR="00284E48">
        <w:t>,</w:t>
      </w:r>
      <w:r>
        <w:t xml:space="preserve"> c</w:t>
      </w:r>
      <w:r w:rsidR="00FF39BC">
        <w:t xml:space="preserve">reates a fantastic platform to encourage widespread public participation in community activities and planning and to help maximise the benefits from </w:t>
      </w:r>
      <w:r>
        <w:t>Kype Muir</w:t>
      </w:r>
      <w:r w:rsidR="00FF39BC">
        <w:t xml:space="preserve"> Wind Farm.</w:t>
      </w:r>
      <w:r w:rsidR="00C0182F">
        <w:t xml:space="preserve"> </w:t>
      </w:r>
    </w:p>
    <w:p w:rsidR="00020150" w:rsidRDefault="007356F2" w:rsidP="00CA0F89">
      <w:pPr>
        <w:numPr>
          <w:ilvl w:val="1"/>
          <w:numId w:val="1"/>
        </w:numPr>
        <w:spacing w:before="240"/>
        <w:jc w:val="both"/>
      </w:pPr>
      <w:r>
        <w:t xml:space="preserve">The Communities are currently represented by their respective Community Councils. If at any time, one or more Community Council has concerns about the operation or activities of the </w:t>
      </w:r>
      <w:r w:rsidR="00284E48">
        <w:t>KMCP</w:t>
      </w:r>
      <w:r>
        <w:t>, then it should bri</w:t>
      </w:r>
      <w:r w:rsidR="00201C05">
        <w:t xml:space="preserve">ng this to the attention of Banks Renewables and SLC and the parties will convene to discuss and agree resolution of any dispute or disagreement. </w:t>
      </w:r>
    </w:p>
    <w:p w:rsidR="00201C05" w:rsidRDefault="00201C05" w:rsidP="00CA0F89">
      <w:pPr>
        <w:numPr>
          <w:ilvl w:val="1"/>
          <w:numId w:val="1"/>
        </w:numPr>
        <w:spacing w:before="240"/>
        <w:jc w:val="both"/>
      </w:pPr>
      <w:r>
        <w:t xml:space="preserve">The </w:t>
      </w:r>
      <w:r w:rsidR="00284E48">
        <w:t>KMCP</w:t>
      </w:r>
      <w:r w:rsidR="00465642">
        <w:t xml:space="preserve"> is a</w:t>
      </w:r>
      <w:r>
        <w:t xml:space="preserve"> body representing four distinct communities, each with its own priorities and different issues.</w:t>
      </w:r>
    </w:p>
    <w:p w:rsidR="00F638BE" w:rsidRDefault="00275BE8" w:rsidP="00465642">
      <w:pPr>
        <w:numPr>
          <w:ilvl w:val="1"/>
          <w:numId w:val="1"/>
        </w:numPr>
        <w:spacing w:before="240"/>
        <w:jc w:val="both"/>
      </w:pPr>
      <w:r>
        <w:t xml:space="preserve">The </w:t>
      </w:r>
      <w:r w:rsidR="00284E48">
        <w:t>KMCP</w:t>
      </w:r>
      <w:r>
        <w:t xml:space="preserve"> should consider how it would apportion between major and minor projects, short term and long </w:t>
      </w:r>
      <w:r w:rsidR="00465642">
        <w:t>term (</w:t>
      </w:r>
      <w:r>
        <w:t>strategic)</w:t>
      </w:r>
      <w:r w:rsidR="001970D4" w:rsidRPr="001970D4">
        <w:rPr>
          <w:b/>
        </w:rPr>
        <w:t xml:space="preserve"> projects, f</w:t>
      </w:r>
      <w:r>
        <w:t xml:space="preserve">acilities funding </w:t>
      </w:r>
      <w:proofErr w:type="gramStart"/>
      <w:r w:rsidR="003F6391">
        <w:t xml:space="preserve">and </w:t>
      </w:r>
      <w:r>
        <w:t xml:space="preserve"> social</w:t>
      </w:r>
      <w:proofErr w:type="gramEnd"/>
      <w:r>
        <w:t>, economic and environmental initiatives</w:t>
      </w:r>
      <w:r w:rsidR="00C27BF3">
        <w:t xml:space="preserve"> and local jobs and training projects</w:t>
      </w:r>
      <w:r w:rsidR="003F6391">
        <w:t xml:space="preserve">. </w:t>
      </w:r>
      <w:r w:rsidR="00465642">
        <w:t xml:space="preserve">KMCP should also ensure that projects in all four community council areas receive equal consideration. </w:t>
      </w:r>
      <w:r w:rsidR="003F6391">
        <w:t>We advise that this is best done through a Community Development Plan(s).</w:t>
      </w:r>
    </w:p>
    <w:p w:rsidR="00865AFC" w:rsidRDefault="00865AFC" w:rsidP="00865AFC">
      <w:pPr>
        <w:numPr>
          <w:ilvl w:val="0"/>
          <w:numId w:val="1"/>
        </w:numPr>
        <w:spacing w:before="240"/>
        <w:jc w:val="both"/>
        <w:rPr>
          <w:b/>
        </w:rPr>
      </w:pPr>
      <w:r w:rsidRPr="00865AFC">
        <w:rPr>
          <w:b/>
        </w:rPr>
        <w:t>Conclusions</w:t>
      </w:r>
    </w:p>
    <w:p w:rsidR="00865AFC" w:rsidRPr="00865AFC" w:rsidRDefault="00865AFC" w:rsidP="00865AFC">
      <w:pPr>
        <w:numPr>
          <w:ilvl w:val="1"/>
          <w:numId w:val="1"/>
        </w:numPr>
        <w:spacing w:before="240"/>
        <w:jc w:val="both"/>
        <w:rPr>
          <w:b/>
        </w:rPr>
      </w:pPr>
      <w:r>
        <w:t xml:space="preserve">The approach advocated in </w:t>
      </w:r>
      <w:r w:rsidR="00BA397E">
        <w:t>this</w:t>
      </w:r>
      <w:r>
        <w:t xml:space="preserve"> document requires a greater level of joint working between developer, Community and Council t</w:t>
      </w:r>
      <w:r w:rsidR="008A1CEF">
        <w:t xml:space="preserve">han would normally take place. </w:t>
      </w:r>
    </w:p>
    <w:p w:rsidR="00865AFC" w:rsidRPr="00B770A8" w:rsidRDefault="00865AFC" w:rsidP="00B770A8">
      <w:pPr>
        <w:numPr>
          <w:ilvl w:val="1"/>
          <w:numId w:val="1"/>
        </w:numPr>
        <w:spacing w:before="240"/>
        <w:jc w:val="both"/>
        <w:rPr>
          <w:b/>
        </w:rPr>
      </w:pPr>
      <w:r>
        <w:t>From our experiences elsewhere</w:t>
      </w:r>
      <w:r w:rsidR="008A1CEF">
        <w:t>,</w:t>
      </w:r>
      <w:r>
        <w:t xml:space="preserve"> and based on the levels of support we </w:t>
      </w:r>
      <w:r w:rsidR="00BA397E">
        <w:t>have had</w:t>
      </w:r>
      <w:r>
        <w:t xml:space="preserve"> in relation to </w:t>
      </w:r>
      <w:r w:rsidR="00BA397E">
        <w:t>Kype Muir</w:t>
      </w:r>
      <w:r>
        <w:t xml:space="preserve">, we are convinced it is </w:t>
      </w:r>
      <w:r w:rsidR="008A1CEF">
        <w:t>the right approach. It helps to build support for appropriately sited on-shore wind farms</w:t>
      </w:r>
      <w:r w:rsidR="00B770A8">
        <w:t>;</w:t>
      </w:r>
      <w:r w:rsidR="008A1CEF">
        <w:t xml:space="preserve"> and helps to support economic, social and environmental regeneration in surrounding communities to a much greater degree than has been seen to date.</w:t>
      </w:r>
    </w:p>
    <w:p w:rsidR="008A1CEF" w:rsidRPr="008A1CEF" w:rsidRDefault="008A1CEF" w:rsidP="00865AFC">
      <w:pPr>
        <w:numPr>
          <w:ilvl w:val="1"/>
          <w:numId w:val="1"/>
        </w:numPr>
        <w:spacing w:before="240"/>
        <w:jc w:val="both"/>
        <w:rPr>
          <w:b/>
        </w:rPr>
      </w:pPr>
      <w:r>
        <w:t xml:space="preserve">It </w:t>
      </w:r>
      <w:r w:rsidR="00B770A8">
        <w:t xml:space="preserve">also </w:t>
      </w:r>
      <w:r>
        <w:t>actively encourages public participation in community activities and development and will lead to more sustainable communities in the long term.</w:t>
      </w:r>
    </w:p>
    <w:p w:rsidR="003D3753" w:rsidRDefault="003D3753" w:rsidP="003D3753">
      <w:pPr>
        <w:spacing w:before="240"/>
        <w:ind w:left="1440"/>
        <w:jc w:val="both"/>
      </w:pPr>
    </w:p>
    <w:p w:rsidR="00B25D88" w:rsidRDefault="00B25D88" w:rsidP="00161037">
      <w:pPr>
        <w:jc w:val="both"/>
      </w:pPr>
      <w:r>
        <w:t>Gordon Thomso</w:t>
      </w:r>
      <w:r w:rsidR="009B2230">
        <w:t>n</w:t>
      </w:r>
    </w:p>
    <w:p w:rsidR="002A4C9A" w:rsidRDefault="00C27BF3" w:rsidP="00B770A8">
      <w:pPr>
        <w:jc w:val="both"/>
      </w:pPr>
      <w:r>
        <w:lastRenderedPageBreak/>
        <w:t>15 January 2015</w:t>
      </w:r>
    </w:p>
    <w:p w:rsidR="003C3F90" w:rsidRDefault="003C3F90" w:rsidP="00B770A8">
      <w:pPr>
        <w:jc w:val="both"/>
      </w:pPr>
    </w:p>
    <w:p w:rsidR="003C3F90" w:rsidRDefault="003C3F90" w:rsidP="00B770A8">
      <w:pPr>
        <w:jc w:val="both"/>
      </w:pPr>
      <w:r>
        <w:t>Appendix 1 – Draft Community Partnership Fund Guidelines</w:t>
      </w:r>
    </w:p>
    <w:p w:rsidR="00A01395" w:rsidRPr="002A4C9A" w:rsidRDefault="00A01395" w:rsidP="00B770A8">
      <w:pPr>
        <w:jc w:val="both"/>
      </w:pPr>
      <w:r>
        <w:t>Appendix 2 – Connect 2 Renewables diagram</w:t>
      </w:r>
    </w:p>
    <w:sectPr w:rsidR="00A01395" w:rsidRPr="002A4C9A" w:rsidSect="00C84AB7">
      <w:headerReference w:type="even" r:id="rId8"/>
      <w:headerReference w:type="default" r:id="rId9"/>
      <w:headerReference w:type="first" r:id="rId10"/>
      <w:footerReference w:type="first" r:id="rId11"/>
      <w:pgSz w:w="11907" w:h="16839" w:code="9"/>
      <w:pgMar w:top="1134" w:right="1134" w:bottom="1559" w:left="1418" w:header="851"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58E" w:rsidRDefault="00EE758E">
      <w:r>
        <w:separator/>
      </w:r>
    </w:p>
  </w:endnote>
  <w:endnote w:type="continuationSeparator" w:id="0">
    <w:p w:rsidR="00EE758E" w:rsidRDefault="00EE75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8" w:rsidRDefault="00284E48">
    <w:pPr>
      <w:pStyle w:val="Footer"/>
    </w:pPr>
    <w:r>
      <w:rPr>
        <w:noProof/>
        <w:lang w:eastAsia="en-GB"/>
      </w:rPr>
      <w:drawing>
        <wp:inline distT="0" distB="0" distL="0" distR="0">
          <wp:extent cx="5940552" cy="774192"/>
          <wp:effectExtent l="19050" t="0" r="3048" b="0"/>
          <wp:docPr id="1" name="Picture 0" descr="Letterhead Lozenge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zenge TEST.jpg"/>
                  <pic:cNvPicPr/>
                </pic:nvPicPr>
                <pic:blipFill>
                  <a:blip r:embed="rId1"/>
                  <a:stretch>
                    <a:fillRect/>
                  </a:stretch>
                </pic:blipFill>
                <pic:spPr>
                  <a:xfrm>
                    <a:off x="0" y="0"/>
                    <a:ext cx="5940552" cy="77419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58E" w:rsidRDefault="00EE758E">
      <w:r>
        <w:separator/>
      </w:r>
    </w:p>
  </w:footnote>
  <w:footnote w:type="continuationSeparator" w:id="0">
    <w:p w:rsidR="00EE758E" w:rsidRDefault="00EE7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8" w:rsidRDefault="003F1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4563" o:spid="_x0000_s2050" type="#_x0000_t136" style="position:absolute;margin-left:0;margin-top:0;width:586.2pt;height:73.25pt;rotation:315;z-index:-251654144;mso-position-horizontal:center;mso-position-horizontal-relative:margin;mso-position-vertical:center;mso-position-vertical-relative:margin" o:allowincell="f" fillcolor="red" stroked="f">
          <v:fill opacity=".5"/>
          <v:textpath style="font-family:&quot;Arial&quot;;font-size:1pt" string="DRAFT - 15 01 1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8" w:rsidRDefault="003F14C4" w:rsidP="002A4C9A">
    <w:pPr>
      <w:pStyle w:val="Header"/>
      <w:tabs>
        <w:tab w:val="clear" w:pos="4320"/>
        <w:tab w:val="clear" w:pos="8640"/>
        <w:tab w:val="center" w:pos="4649"/>
      </w:tabs>
      <w:spacing w:before="120"/>
      <w:rPr>
        <w:sz w:val="18"/>
      </w:rPr>
    </w:pPr>
    <w:r w:rsidRPr="003F14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4564" o:spid="_x0000_s2051" type="#_x0000_t136" style="position:absolute;margin-left:0;margin-top:0;width:586.2pt;height:73.25pt;rotation:315;z-index:-251652096;mso-position-horizontal:center;mso-position-horizontal-relative:margin;mso-position-vertical:center;mso-position-vertical-relative:margin" o:allowincell="f" fillcolor="red" stroked="f">
          <v:fill opacity=".5"/>
          <v:textpath style="font-family:&quot;Arial&quot;;font-size:1pt" string="DRAFT - 15 01 14"/>
          <w10:wrap anchorx="margin" anchory="margin"/>
        </v:shape>
      </w:pict>
    </w:r>
    <w:r w:rsidR="00284E48">
      <w:rPr>
        <w:sz w:val="18"/>
      </w:rPr>
      <w:t>RE/S/   /PM1</w:t>
    </w:r>
    <w:r w:rsidR="00284E48">
      <w:rPr>
        <w:sz w:val="18"/>
      </w:rPr>
      <w:tab/>
    </w:r>
    <w:r>
      <w:rPr>
        <w:sz w:val="18"/>
      </w:rPr>
      <w:fldChar w:fldCharType="begin"/>
    </w:r>
    <w:r w:rsidR="00284E48">
      <w:rPr>
        <w:sz w:val="18"/>
      </w:rPr>
      <w:instrText xml:space="preserve"> PAGE  \* MERGEFORMAT </w:instrText>
    </w:r>
    <w:r>
      <w:rPr>
        <w:sz w:val="18"/>
      </w:rPr>
      <w:fldChar w:fldCharType="separate"/>
    </w:r>
    <w:r w:rsidR="0002182A">
      <w:rPr>
        <w:noProof/>
        <w:sz w:val="18"/>
      </w:rPr>
      <w:t>5</w:t>
    </w:r>
    <w:r>
      <w:rPr>
        <w:sz w:val="18"/>
      </w:rPr>
      <w:fldChar w:fldCharType="end"/>
    </w:r>
  </w:p>
  <w:p w:rsidR="00284E48" w:rsidRDefault="00284E48" w:rsidP="00161037">
    <w:pPr>
      <w:pStyle w:val="Header"/>
      <w:tabs>
        <w:tab w:val="clear" w:pos="4320"/>
        <w:tab w:val="clear" w:pos="8640"/>
        <w:tab w:val="center" w:pos="4536"/>
        <w:tab w:val="right" w:pos="9356"/>
      </w:tabs>
      <w:spacing w:after="120"/>
      <w:rPr>
        <w:sz w:val="18"/>
      </w:rPr>
    </w:pPr>
    <w:r>
      <w:rPr>
        <w:sz w:val="18"/>
      </w:rPr>
      <w:t>Kype Muir Wind Farm – Information regarding Community Benefits</w:t>
    </w:r>
    <w:r>
      <w:rPr>
        <w:sz w:val="18"/>
      </w:rPr>
      <w:tab/>
    </w:r>
    <w:r w:rsidR="008350C2">
      <w:rPr>
        <w:sz w:val="18"/>
      </w:rPr>
      <w:t>15 January</w:t>
    </w:r>
    <w:r>
      <w:rPr>
        <w:sz w:val="18"/>
      </w:rPr>
      <w:t xml:space="preserve"> 201</w:t>
    </w:r>
    <w:r w:rsidR="008350C2">
      <w:rPr>
        <w:sz w:val="18"/>
      </w:rPr>
      <w:t>4</w:t>
    </w:r>
  </w:p>
  <w:p w:rsidR="00284E48" w:rsidRPr="002A4C9A" w:rsidRDefault="00284E48" w:rsidP="002A4C9A">
    <w:pPr>
      <w:pStyle w:val="Header"/>
      <w:pBdr>
        <w:top w:val="single" w:sz="4" w:space="1" w:color="auto"/>
      </w:pBdr>
      <w:tabs>
        <w:tab w:val="clear" w:pos="4320"/>
        <w:tab w:val="clear" w:pos="8640"/>
        <w:tab w:val="center" w:pos="4150"/>
        <w:tab w:val="right" w:pos="9071"/>
      </w:tabs>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48" w:rsidRDefault="003F14C4" w:rsidP="00E73F36">
    <w:pPr>
      <w:pStyle w:val="Header"/>
      <w:ind w:left="-85"/>
      <w:jc w:val="right"/>
    </w:pPr>
    <w:bookmarkStart w:id="0" w:name="HeaderLogo"/>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4562" o:spid="_x0000_s2049" type="#_x0000_t136" style="position:absolute;left:0;text-align:left;margin-left:0;margin-top:0;width:586.2pt;height:73.25pt;rotation:315;z-index:-251656192;mso-position-horizontal:center;mso-position-horizontal-relative:margin;mso-position-vertical:center;mso-position-vertical-relative:margin" o:allowincell="f" fillcolor="red" stroked="f">
          <v:fill opacity=".5"/>
          <v:textpath style="font-family:&quot;Arial&quot;;font-size:1pt" string="DRAFT - 15 01 14"/>
          <w10:wrap anchorx="margin" anchory="margin"/>
        </v:shape>
      </w:pict>
    </w:r>
    <w:r w:rsidR="00284E48">
      <w:rPr>
        <w:noProof/>
        <w:lang w:eastAsia="en-GB"/>
      </w:rPr>
      <w:drawing>
        <wp:inline distT="0" distB="0" distL="0" distR="0">
          <wp:extent cx="3386328" cy="612648"/>
          <wp:effectExtent l="19050" t="0" r="4572"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6328" cy="6126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77"/>
    <w:multiLevelType w:val="hybridMultilevel"/>
    <w:tmpl w:val="7870FAC2"/>
    <w:lvl w:ilvl="0" w:tplc="F05A6444">
      <w:start w:val="1"/>
      <w:numFmt w:val="decimal"/>
      <w:lvlRestart w:val="0"/>
      <w:lvlText w:val="1.%1"/>
      <w:lvlJc w:val="left"/>
      <w:pPr>
        <w:tabs>
          <w:tab w:val="num" w:pos="1440"/>
        </w:tabs>
        <w:ind w:left="1440" w:hanging="363"/>
      </w:pPr>
      <w:rPr>
        <w:rFonts w:ascii="Arial" w:hAnsi="Arial" w:cs="Arial" w:hint="default"/>
        <w:b w:val="0"/>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CC5"/>
    <w:multiLevelType w:val="hybridMultilevel"/>
    <w:tmpl w:val="88C8DD8A"/>
    <w:lvl w:ilvl="0" w:tplc="2E5E3F76">
      <w:start w:val="1"/>
      <w:numFmt w:val="bullet"/>
      <w:lvlRestart w:val="0"/>
      <w:lvlText w:val=""/>
      <w:lvlJc w:val="left"/>
      <w:pPr>
        <w:tabs>
          <w:tab w:val="num" w:pos="1440"/>
        </w:tabs>
        <w:ind w:left="1440" w:hanging="363"/>
      </w:pPr>
      <w:rPr>
        <w:rFonts w:ascii="Symbol" w:hAnsi="Symbol" w:cs="Times New Roman" w:hint="default"/>
        <w:b w:val="0"/>
        <w:i w:val="0"/>
        <w:color w:val="000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960F3"/>
    <w:multiLevelType w:val="hybridMultilevel"/>
    <w:tmpl w:val="3F06332A"/>
    <w:lvl w:ilvl="0" w:tplc="C930A95E">
      <w:start w:val="1"/>
      <w:numFmt w:val="lowerLetter"/>
      <w:lvlRestart w:val="0"/>
      <w:pStyle w:val="BANKSPALETTERS"/>
      <w:lvlText w:val="%1)"/>
      <w:lvlJc w:val="left"/>
      <w:pPr>
        <w:tabs>
          <w:tab w:val="num" w:pos="1440"/>
        </w:tabs>
        <w:ind w:left="1440" w:hanging="363"/>
      </w:pPr>
      <w:rPr>
        <w:rFonts w:ascii="Arial" w:hAnsi="Arial" w:cs="Arial" w:hint="default"/>
        <w:b w:val="0"/>
        <w:i w:val="0"/>
        <w:color w:val="00008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874C63"/>
    <w:multiLevelType w:val="multilevel"/>
    <w:tmpl w:val="3CD2B67E"/>
    <w:name w:val="BANKSStyleName"/>
    <w:lvl w:ilvl="0">
      <w:start w:val="1"/>
      <w:numFmt w:val="decimal"/>
      <w:lvlRestart w:val="0"/>
      <w:pStyle w:val="BANKSPASECTIONHEADING"/>
      <w:lvlText w:val="%1"/>
      <w:lvlJc w:val="left"/>
      <w:pPr>
        <w:tabs>
          <w:tab w:val="num" w:pos="567"/>
        </w:tabs>
        <w:ind w:left="567" w:hanging="567"/>
      </w:pPr>
      <w:rPr>
        <w:rFonts w:ascii="Arial" w:hAnsi="Arial" w:cs="Arial" w:hint="default"/>
        <w:b/>
        <w:i w:val="0"/>
        <w:color w:val="000080"/>
        <w:kern w:val="0"/>
        <w:position w:val="-12"/>
        <w:sz w:val="40"/>
      </w:rPr>
    </w:lvl>
    <w:lvl w:ilvl="1">
      <w:start w:val="1"/>
      <w:numFmt w:val="decimal"/>
      <w:pStyle w:val="BANKSPANUMBERPARA"/>
      <w:lvlText w:val="%1.%2"/>
      <w:lvlJc w:val="left"/>
      <w:pPr>
        <w:tabs>
          <w:tab w:val="num" w:pos="1134"/>
        </w:tabs>
        <w:ind w:left="1134" w:hanging="567"/>
      </w:pPr>
      <w:rPr>
        <w:rFonts w:ascii="Arial" w:hAnsi="Arial" w:cs="Arial" w:hint="default"/>
        <w:b w:val="0"/>
        <w:i w:val="0"/>
        <w:color w:val="000080"/>
        <w:position w:val="-12"/>
        <w:sz w:val="24"/>
      </w:rPr>
    </w:lvl>
    <w:lvl w:ilvl="2">
      <w:start w:val="1"/>
      <w:numFmt w:val="lowerLetter"/>
      <w:pStyle w:val="BANKSPALETTER"/>
      <w:lvlText w:val="%3)"/>
      <w:lvlJc w:val="left"/>
      <w:pPr>
        <w:tabs>
          <w:tab w:val="num" w:pos="1701"/>
        </w:tabs>
        <w:ind w:left="1701" w:hanging="567"/>
      </w:pPr>
      <w:rPr>
        <w:rFonts w:ascii="Arial" w:hAnsi="Arial" w:cs="Arial" w:hint="default"/>
        <w:b/>
        <w:i w:val="0"/>
        <w:color w:val="000080"/>
        <w:kern w:val="0"/>
        <w:position w:val="-12"/>
        <w:sz w:val="24"/>
      </w:rPr>
    </w:lvl>
    <w:lvl w:ilvl="3">
      <w:start w:val="1"/>
      <w:numFmt w:val="decimal"/>
      <w:pStyle w:val="BANKSPABULLET"/>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9773EDB"/>
    <w:multiLevelType w:val="multilevel"/>
    <w:tmpl w:val="5550666A"/>
    <w:name w:val="StyleDocument5"/>
    <w:lvl w:ilvl="0">
      <w:start w:val="1"/>
      <w:numFmt w:val="decimal"/>
      <w:lvlRestart w:val="0"/>
      <w:lvlText w:val="%1"/>
      <w:lvlJc w:val="left"/>
      <w:pPr>
        <w:tabs>
          <w:tab w:val="num" w:pos="720"/>
        </w:tabs>
        <w:ind w:left="720" w:hanging="720"/>
      </w:pPr>
      <w:rPr>
        <w:rFonts w:ascii="Arial" w:hAnsi="Arial" w:cs="Arial"/>
        <w:b w:val="0"/>
        <w:i w:val="0"/>
        <w:sz w:val="22"/>
      </w:rPr>
    </w:lvl>
    <w:lvl w:ilvl="1">
      <w:start w:val="1"/>
      <w:numFmt w:val="decimal"/>
      <w:lvlText w:val="%1.%2"/>
      <w:lvlJc w:val="left"/>
      <w:pPr>
        <w:tabs>
          <w:tab w:val="num" w:pos="1440"/>
        </w:tabs>
        <w:ind w:left="1440" w:hanging="720"/>
      </w:pPr>
      <w:rPr>
        <w:rFonts w:ascii="Arial" w:hAnsi="Arial" w:cs="Arial"/>
        <w:b w:val="0"/>
        <w:i w:val="0"/>
        <w:sz w:val="22"/>
      </w:rPr>
    </w:lvl>
    <w:lvl w:ilvl="2">
      <w:start w:val="1"/>
      <w:numFmt w:val="lowerLetter"/>
      <w:lvlText w:val="%3)"/>
      <w:lvlJc w:val="left"/>
      <w:pPr>
        <w:tabs>
          <w:tab w:val="num" w:pos="2160"/>
        </w:tabs>
        <w:ind w:left="2160" w:hanging="720"/>
      </w:pPr>
      <w:rPr>
        <w:rFonts w:ascii="Arial" w:hAnsi="Arial" w:cs="Arial"/>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lowerRoman"/>
      <w:lvlText w:val="%9."/>
      <w:lvlJc w:val="left"/>
      <w:pPr>
        <w:tabs>
          <w:tab w:val="num" w:pos="3240"/>
        </w:tabs>
        <w:ind w:left="3240" w:hanging="360"/>
      </w:pPr>
    </w:lvl>
  </w:abstractNum>
  <w:abstractNum w:abstractNumId="5">
    <w:nsid w:val="7E031A56"/>
    <w:multiLevelType w:val="multilevel"/>
    <w:tmpl w:val="6CB255D4"/>
    <w:lvl w:ilvl="0">
      <w:start w:val="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1">
      <w:start w:val="1"/>
      <w:numFmt w:val="decimal"/>
      <w:lvlText w:val="%1.%2"/>
      <w:lvlJc w:val="left"/>
      <w:pPr>
        <w:tabs>
          <w:tab w:val="num" w:pos="1440"/>
        </w:tabs>
        <w:ind w:left="144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3">
      <w:start w:val="1"/>
      <w:numFmt w:val="decimal"/>
      <w:lvlText w:val="(%4)"/>
      <w:lvlJc w:val="left"/>
      <w:pPr>
        <w:tabs>
          <w:tab w:val="num" w:pos="1440"/>
        </w:tabs>
        <w:ind w:left="144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5)"/>
      <w:lvlJc w:val="left"/>
      <w:pPr>
        <w:tabs>
          <w:tab w:val="num" w:pos="1797"/>
        </w:tabs>
        <w:ind w:left="179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6)"/>
      <w:lvlJc w:val="left"/>
      <w:pPr>
        <w:tabs>
          <w:tab w:val="num" w:pos="2160"/>
        </w:tabs>
        <w:ind w:left="216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7."/>
      <w:lvlJc w:val="left"/>
      <w:pPr>
        <w:tabs>
          <w:tab w:val="num" w:pos="2517"/>
        </w:tabs>
        <w:ind w:left="251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8."/>
      <w:lvlJc w:val="left"/>
      <w:pPr>
        <w:tabs>
          <w:tab w:val="num" w:pos="2880"/>
        </w:tabs>
        <w:ind w:left="2880" w:hanging="363"/>
      </w:pPr>
      <w:rPr>
        <w:rFonts w:ascii="Arial" w:hAnsi="Arial" w:cs="Arial"/>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9."/>
      <w:lvlJc w:val="left"/>
      <w:pPr>
        <w:tabs>
          <w:tab w:val="num" w:pos="3237"/>
        </w:tabs>
        <w:ind w:left="3237" w:hanging="357"/>
      </w:pPr>
      <w:rPr>
        <w:rFonts w:ascii="Arial" w:hAnsi="Arial" w:cs="Arial"/>
        <w:b w:val="0"/>
        <w:i w:val="0"/>
        <w:caps w:val="0"/>
        <w:strike w:val="0"/>
        <w:dstrike w:val="0"/>
        <w:outline w:val="0"/>
        <w:shadow w:val="0"/>
        <w:emboss w:val="0"/>
        <w:imprint w:val="0"/>
        <w:vanish w:val="0"/>
        <w:color w:val="000000"/>
        <w:sz w:val="22"/>
        <w:u w:val="none"/>
        <w:effect w:val="none"/>
        <w:vertAlign w:val="baseline"/>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61037"/>
    <w:rsid w:val="00015A50"/>
    <w:rsid w:val="00020150"/>
    <w:rsid w:val="0002182A"/>
    <w:rsid w:val="000B2379"/>
    <w:rsid w:val="000C0443"/>
    <w:rsid w:val="000C09B8"/>
    <w:rsid w:val="000D2568"/>
    <w:rsid w:val="000D2D1B"/>
    <w:rsid w:val="000F733D"/>
    <w:rsid w:val="00103E74"/>
    <w:rsid w:val="0010476E"/>
    <w:rsid w:val="001116F6"/>
    <w:rsid w:val="00113FBA"/>
    <w:rsid w:val="00137E0D"/>
    <w:rsid w:val="00154AE0"/>
    <w:rsid w:val="00161037"/>
    <w:rsid w:val="00166E7B"/>
    <w:rsid w:val="00167CE2"/>
    <w:rsid w:val="001803D9"/>
    <w:rsid w:val="001869B9"/>
    <w:rsid w:val="0018772C"/>
    <w:rsid w:val="00191529"/>
    <w:rsid w:val="001970D4"/>
    <w:rsid w:val="001A2809"/>
    <w:rsid w:val="001E5B53"/>
    <w:rsid w:val="00201C05"/>
    <w:rsid w:val="00207587"/>
    <w:rsid w:val="002140E8"/>
    <w:rsid w:val="002260E0"/>
    <w:rsid w:val="00241D1D"/>
    <w:rsid w:val="00242D56"/>
    <w:rsid w:val="00256552"/>
    <w:rsid w:val="00275BE8"/>
    <w:rsid w:val="00284E48"/>
    <w:rsid w:val="00295AD0"/>
    <w:rsid w:val="002A3137"/>
    <w:rsid w:val="002A3D05"/>
    <w:rsid w:val="002A4C9A"/>
    <w:rsid w:val="002D7ED2"/>
    <w:rsid w:val="002E5DBE"/>
    <w:rsid w:val="002F6A43"/>
    <w:rsid w:val="002F6CA2"/>
    <w:rsid w:val="00314B1C"/>
    <w:rsid w:val="00326BB8"/>
    <w:rsid w:val="003274A3"/>
    <w:rsid w:val="00373DD5"/>
    <w:rsid w:val="00376AA4"/>
    <w:rsid w:val="003A0B00"/>
    <w:rsid w:val="003B1AB2"/>
    <w:rsid w:val="003C3F90"/>
    <w:rsid w:val="003C5B4C"/>
    <w:rsid w:val="003D0B74"/>
    <w:rsid w:val="003D3753"/>
    <w:rsid w:val="003E459B"/>
    <w:rsid w:val="003F14C4"/>
    <w:rsid w:val="003F3D86"/>
    <w:rsid w:val="003F4FF8"/>
    <w:rsid w:val="003F6391"/>
    <w:rsid w:val="00432C99"/>
    <w:rsid w:val="00453F7F"/>
    <w:rsid w:val="00457061"/>
    <w:rsid w:val="00465642"/>
    <w:rsid w:val="004700ED"/>
    <w:rsid w:val="00486D21"/>
    <w:rsid w:val="004974E2"/>
    <w:rsid w:val="004D040C"/>
    <w:rsid w:val="004E49D0"/>
    <w:rsid w:val="004F1754"/>
    <w:rsid w:val="004F2B6D"/>
    <w:rsid w:val="00511EEE"/>
    <w:rsid w:val="005146ED"/>
    <w:rsid w:val="005260D7"/>
    <w:rsid w:val="00527433"/>
    <w:rsid w:val="00534969"/>
    <w:rsid w:val="0055630A"/>
    <w:rsid w:val="005752A2"/>
    <w:rsid w:val="0058360A"/>
    <w:rsid w:val="005C2743"/>
    <w:rsid w:val="005C2A5C"/>
    <w:rsid w:val="005D47C9"/>
    <w:rsid w:val="005E09F7"/>
    <w:rsid w:val="005F4EC8"/>
    <w:rsid w:val="006010DE"/>
    <w:rsid w:val="00602CFC"/>
    <w:rsid w:val="00604253"/>
    <w:rsid w:val="00612A99"/>
    <w:rsid w:val="00633CE4"/>
    <w:rsid w:val="00644B4A"/>
    <w:rsid w:val="0066420D"/>
    <w:rsid w:val="0068287A"/>
    <w:rsid w:val="00683A7E"/>
    <w:rsid w:val="00690E69"/>
    <w:rsid w:val="006A2ECA"/>
    <w:rsid w:val="006B0D9A"/>
    <w:rsid w:val="006B70F2"/>
    <w:rsid w:val="006C0F4F"/>
    <w:rsid w:val="006E5433"/>
    <w:rsid w:val="006F49A2"/>
    <w:rsid w:val="00701A03"/>
    <w:rsid w:val="00711610"/>
    <w:rsid w:val="00727C72"/>
    <w:rsid w:val="007356F2"/>
    <w:rsid w:val="00735EFA"/>
    <w:rsid w:val="00747993"/>
    <w:rsid w:val="00753363"/>
    <w:rsid w:val="00754456"/>
    <w:rsid w:val="00765CEF"/>
    <w:rsid w:val="00765EE9"/>
    <w:rsid w:val="00783482"/>
    <w:rsid w:val="00791486"/>
    <w:rsid w:val="007B1603"/>
    <w:rsid w:val="007C2520"/>
    <w:rsid w:val="007D22DC"/>
    <w:rsid w:val="007D2915"/>
    <w:rsid w:val="007D4C22"/>
    <w:rsid w:val="007D6B53"/>
    <w:rsid w:val="007F12A2"/>
    <w:rsid w:val="007F1C5E"/>
    <w:rsid w:val="00805513"/>
    <w:rsid w:val="00807B51"/>
    <w:rsid w:val="0082656F"/>
    <w:rsid w:val="008350C2"/>
    <w:rsid w:val="008549A3"/>
    <w:rsid w:val="008634E5"/>
    <w:rsid w:val="00865AFC"/>
    <w:rsid w:val="008671E4"/>
    <w:rsid w:val="0089698D"/>
    <w:rsid w:val="008A1CEF"/>
    <w:rsid w:val="008A4BBA"/>
    <w:rsid w:val="008B0E5A"/>
    <w:rsid w:val="008B3C61"/>
    <w:rsid w:val="008C0BEA"/>
    <w:rsid w:val="008C148B"/>
    <w:rsid w:val="008E61C2"/>
    <w:rsid w:val="008E6A1C"/>
    <w:rsid w:val="008F0E92"/>
    <w:rsid w:val="0090298E"/>
    <w:rsid w:val="00930498"/>
    <w:rsid w:val="00934AB2"/>
    <w:rsid w:val="00936763"/>
    <w:rsid w:val="00972786"/>
    <w:rsid w:val="00977970"/>
    <w:rsid w:val="0098620B"/>
    <w:rsid w:val="009B0789"/>
    <w:rsid w:val="009B0970"/>
    <w:rsid w:val="009B2230"/>
    <w:rsid w:val="009C1200"/>
    <w:rsid w:val="009C23F0"/>
    <w:rsid w:val="009C69C2"/>
    <w:rsid w:val="009C76E0"/>
    <w:rsid w:val="009F523F"/>
    <w:rsid w:val="009F6600"/>
    <w:rsid w:val="00A011E5"/>
    <w:rsid w:val="00A01395"/>
    <w:rsid w:val="00A17EFC"/>
    <w:rsid w:val="00A22215"/>
    <w:rsid w:val="00A3603D"/>
    <w:rsid w:val="00A952CD"/>
    <w:rsid w:val="00A96AD5"/>
    <w:rsid w:val="00AD4E92"/>
    <w:rsid w:val="00AE455B"/>
    <w:rsid w:val="00AF76BC"/>
    <w:rsid w:val="00AF7C7F"/>
    <w:rsid w:val="00B13F8D"/>
    <w:rsid w:val="00B25D88"/>
    <w:rsid w:val="00B45F39"/>
    <w:rsid w:val="00B524E8"/>
    <w:rsid w:val="00B636F8"/>
    <w:rsid w:val="00B67102"/>
    <w:rsid w:val="00B770A8"/>
    <w:rsid w:val="00B771E1"/>
    <w:rsid w:val="00B774D0"/>
    <w:rsid w:val="00B815D8"/>
    <w:rsid w:val="00B84098"/>
    <w:rsid w:val="00BA397E"/>
    <w:rsid w:val="00BC0092"/>
    <w:rsid w:val="00BD10EB"/>
    <w:rsid w:val="00C0182F"/>
    <w:rsid w:val="00C25A86"/>
    <w:rsid w:val="00C27BF3"/>
    <w:rsid w:val="00C53CD9"/>
    <w:rsid w:val="00C84AB7"/>
    <w:rsid w:val="00C8764C"/>
    <w:rsid w:val="00CA0F89"/>
    <w:rsid w:val="00CA56F8"/>
    <w:rsid w:val="00CB1C04"/>
    <w:rsid w:val="00CB4B96"/>
    <w:rsid w:val="00CD39D7"/>
    <w:rsid w:val="00CD7358"/>
    <w:rsid w:val="00CE70D8"/>
    <w:rsid w:val="00CF7325"/>
    <w:rsid w:val="00D01CE8"/>
    <w:rsid w:val="00D2136A"/>
    <w:rsid w:val="00D32F42"/>
    <w:rsid w:val="00D64CD5"/>
    <w:rsid w:val="00D81CDA"/>
    <w:rsid w:val="00D86A5C"/>
    <w:rsid w:val="00DA540D"/>
    <w:rsid w:val="00DB77CE"/>
    <w:rsid w:val="00DD76D1"/>
    <w:rsid w:val="00DE4FC5"/>
    <w:rsid w:val="00DF6773"/>
    <w:rsid w:val="00DF6FD0"/>
    <w:rsid w:val="00E00BB9"/>
    <w:rsid w:val="00E07A72"/>
    <w:rsid w:val="00E11641"/>
    <w:rsid w:val="00E17DCD"/>
    <w:rsid w:val="00E23169"/>
    <w:rsid w:val="00E3204A"/>
    <w:rsid w:val="00E55B6D"/>
    <w:rsid w:val="00E73F36"/>
    <w:rsid w:val="00E92354"/>
    <w:rsid w:val="00E93D5A"/>
    <w:rsid w:val="00EB4179"/>
    <w:rsid w:val="00EB508A"/>
    <w:rsid w:val="00EC6B97"/>
    <w:rsid w:val="00ED3FB2"/>
    <w:rsid w:val="00EE758E"/>
    <w:rsid w:val="00EF395F"/>
    <w:rsid w:val="00F02892"/>
    <w:rsid w:val="00F05CE6"/>
    <w:rsid w:val="00F21498"/>
    <w:rsid w:val="00F21FB1"/>
    <w:rsid w:val="00F370BE"/>
    <w:rsid w:val="00F51B1F"/>
    <w:rsid w:val="00F626E9"/>
    <w:rsid w:val="00F638BE"/>
    <w:rsid w:val="00F64344"/>
    <w:rsid w:val="00F92FED"/>
    <w:rsid w:val="00F94024"/>
    <w:rsid w:val="00F971D4"/>
    <w:rsid w:val="00FA6F3E"/>
    <w:rsid w:val="00FB2E9E"/>
    <w:rsid w:val="00FC21B3"/>
    <w:rsid w:val="00FE4B77"/>
    <w:rsid w:val="00FF3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8" type="connector" idref="#_x0000_s1034"/>
        <o:r id="V:Rule19" type="connector" idref="#_x0000_s1041"/>
        <o:r id="V:Rule20" type="connector" idref="#_x0000_s1044"/>
        <o:r id="V:Rule21" type="connector" idref="#_x0000_s1030"/>
        <o:r id="V:Rule22" type="connector" idref="#_x0000_s1057"/>
        <o:r id="V:Rule23" type="connector" idref="#_x0000_s1049"/>
        <o:r id="V:Rule24" type="connector" idref="#_x0000_s1036"/>
        <o:r id="V:Rule25" type="connector" idref="#_x0000_s1046"/>
        <o:r id="V:Rule26" type="connector" idref="#_x0000_s1039"/>
        <o:r id="V:Rule27" type="connector" idref="#_x0000_s1038"/>
        <o:r id="V:Rule28" type="connector" idref="#_x0000_s1054"/>
        <o:r id="V:Rule29" type="connector" idref="#_x0000_s1047"/>
        <o:r id="V:Rule30" type="connector" idref="#_x0000_s1032"/>
        <o:r id="V:Rule31" type="connector" idref="#_x0000_s1055"/>
        <o:r id="V:Rule32" type="connector" idref="#_x0000_s1050"/>
        <o:r id="V:Rule33" type="connector" idref="#_x0000_s1043"/>
        <o:r id="V:Rule3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BB8"/>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4C9A"/>
    <w:pPr>
      <w:tabs>
        <w:tab w:val="center" w:pos="4320"/>
        <w:tab w:val="right" w:pos="8640"/>
      </w:tabs>
    </w:pPr>
  </w:style>
  <w:style w:type="paragraph" w:styleId="Footer">
    <w:name w:val="footer"/>
    <w:basedOn w:val="Normal"/>
    <w:rsid w:val="002A4C9A"/>
    <w:pPr>
      <w:tabs>
        <w:tab w:val="center" w:pos="4320"/>
        <w:tab w:val="right" w:pos="8640"/>
      </w:tabs>
    </w:pPr>
  </w:style>
  <w:style w:type="paragraph" w:customStyle="1" w:styleId="BANKSPATEXT">
    <w:name w:val="BANKS PA TEXT"/>
    <w:basedOn w:val="Normal"/>
    <w:rsid w:val="002A4C9A"/>
    <w:pPr>
      <w:jc w:val="both"/>
    </w:pPr>
    <w:rPr>
      <w:color w:val="000080"/>
      <w:sz w:val="24"/>
    </w:rPr>
  </w:style>
  <w:style w:type="paragraph" w:customStyle="1" w:styleId="BANKSPATABLE">
    <w:name w:val="BANKS PA TABLE"/>
    <w:basedOn w:val="Normal"/>
    <w:rsid w:val="002A4C9A"/>
    <w:pPr>
      <w:jc w:val="both"/>
    </w:pPr>
    <w:rPr>
      <w:color w:val="000080"/>
      <w:sz w:val="20"/>
    </w:rPr>
  </w:style>
  <w:style w:type="paragraph" w:customStyle="1" w:styleId="BANKSPAMAINHEADING">
    <w:name w:val="BANKS PA MAIN HEADING"/>
    <w:basedOn w:val="Normal"/>
    <w:rsid w:val="002A4C9A"/>
    <w:pPr>
      <w:jc w:val="both"/>
    </w:pPr>
    <w:rPr>
      <w:b/>
      <w:color w:val="000080"/>
      <w:sz w:val="28"/>
    </w:rPr>
  </w:style>
  <w:style w:type="paragraph" w:customStyle="1" w:styleId="BANKSPASUBHEADING">
    <w:name w:val="BANKS PA SUB HEADING"/>
    <w:basedOn w:val="Normal"/>
    <w:rsid w:val="002A4C9A"/>
    <w:pPr>
      <w:jc w:val="both"/>
    </w:pPr>
    <w:rPr>
      <w:b/>
      <w:color w:val="000080"/>
      <w:sz w:val="24"/>
    </w:rPr>
  </w:style>
  <w:style w:type="paragraph" w:customStyle="1" w:styleId="BANKSPALETTERS">
    <w:name w:val="BANKS PA LETTERS"/>
    <w:basedOn w:val="Normal"/>
    <w:rsid w:val="002A4C9A"/>
    <w:pPr>
      <w:numPr>
        <w:numId w:val="2"/>
      </w:numPr>
      <w:jc w:val="both"/>
    </w:pPr>
    <w:rPr>
      <w:color w:val="000080"/>
      <w:sz w:val="24"/>
    </w:rPr>
  </w:style>
  <w:style w:type="paragraph" w:customStyle="1" w:styleId="BANKSPABULLET">
    <w:name w:val="BANKS PA BULLET"/>
    <w:basedOn w:val="Normal"/>
    <w:rsid w:val="002A4C9A"/>
    <w:pPr>
      <w:numPr>
        <w:ilvl w:val="3"/>
        <w:numId w:val="5"/>
      </w:numPr>
      <w:jc w:val="both"/>
    </w:pPr>
    <w:rPr>
      <w:color w:val="000080"/>
      <w:sz w:val="24"/>
    </w:rPr>
  </w:style>
  <w:style w:type="paragraph" w:customStyle="1" w:styleId="BANKSPANUMBERPARA">
    <w:name w:val="BANKS PA NUMBER PARA"/>
    <w:basedOn w:val="Normal"/>
    <w:rsid w:val="002A4C9A"/>
    <w:pPr>
      <w:numPr>
        <w:ilvl w:val="1"/>
        <w:numId w:val="5"/>
      </w:numPr>
      <w:jc w:val="both"/>
    </w:pPr>
    <w:rPr>
      <w:color w:val="000080"/>
      <w:sz w:val="24"/>
    </w:rPr>
  </w:style>
  <w:style w:type="paragraph" w:customStyle="1" w:styleId="BANKSPASECTIONHEADING">
    <w:name w:val="BANKS PA SECTION HEADING"/>
    <w:basedOn w:val="Normal"/>
    <w:rsid w:val="002A4C9A"/>
    <w:pPr>
      <w:pageBreakBefore/>
      <w:numPr>
        <w:numId w:val="5"/>
      </w:numPr>
      <w:pBdr>
        <w:bottom w:val="single" w:sz="4" w:space="1" w:color="auto"/>
      </w:pBdr>
      <w:tabs>
        <w:tab w:val="left" w:pos="1077"/>
      </w:tabs>
      <w:spacing w:before="240" w:after="240"/>
    </w:pPr>
    <w:rPr>
      <w:b/>
      <w:caps/>
      <w:color w:val="000080"/>
      <w:sz w:val="40"/>
    </w:rPr>
  </w:style>
  <w:style w:type="paragraph" w:customStyle="1" w:styleId="BANKSPALETTER">
    <w:name w:val="BANKS PA LETTER"/>
    <w:basedOn w:val="Normal"/>
    <w:rsid w:val="002A4C9A"/>
    <w:pPr>
      <w:numPr>
        <w:ilvl w:val="2"/>
        <w:numId w:val="5"/>
      </w:numPr>
    </w:pPr>
  </w:style>
  <w:style w:type="paragraph" w:styleId="BalloonText">
    <w:name w:val="Balloon Text"/>
    <w:basedOn w:val="Normal"/>
    <w:link w:val="BalloonTextChar"/>
    <w:rsid w:val="00376AA4"/>
    <w:rPr>
      <w:rFonts w:ascii="Tahoma" w:hAnsi="Tahoma" w:cs="Tahoma"/>
      <w:sz w:val="16"/>
      <w:szCs w:val="16"/>
    </w:rPr>
  </w:style>
  <w:style w:type="character" w:customStyle="1" w:styleId="BalloonTextChar">
    <w:name w:val="Balloon Text Char"/>
    <w:basedOn w:val="DefaultParagraphFont"/>
    <w:link w:val="BalloonText"/>
    <w:rsid w:val="00376AA4"/>
    <w:rPr>
      <w:rFonts w:ascii="Tahoma" w:hAnsi="Tahoma" w:cs="Tahoma"/>
      <w:sz w:val="16"/>
      <w:szCs w:val="16"/>
      <w:lang w:val="en-US" w:eastAsia="en-US"/>
    </w:rPr>
  </w:style>
  <w:style w:type="paragraph" w:styleId="ListParagraph">
    <w:name w:val="List Paragraph"/>
    <w:basedOn w:val="Normal"/>
    <w:uiPriority w:val="34"/>
    <w:qFormat/>
    <w:rsid w:val="00DF6FD0"/>
    <w:pPr>
      <w:ind w:left="720"/>
      <w:contextualSpacing/>
    </w:pPr>
  </w:style>
  <w:style w:type="paragraph" w:styleId="EndnoteText">
    <w:name w:val="endnote text"/>
    <w:basedOn w:val="Normal"/>
    <w:link w:val="EndnoteTextChar"/>
    <w:rsid w:val="00191529"/>
    <w:rPr>
      <w:sz w:val="20"/>
      <w:szCs w:val="20"/>
    </w:rPr>
  </w:style>
  <w:style w:type="character" w:customStyle="1" w:styleId="EndnoteTextChar">
    <w:name w:val="Endnote Text Char"/>
    <w:basedOn w:val="DefaultParagraphFont"/>
    <w:link w:val="EndnoteText"/>
    <w:rsid w:val="00191529"/>
    <w:rPr>
      <w:rFonts w:ascii="Arial" w:hAnsi="Arial" w:cs="Arial"/>
      <w:lang w:eastAsia="en-US"/>
    </w:rPr>
  </w:style>
  <w:style w:type="character" w:styleId="EndnoteReference">
    <w:name w:val="endnote reference"/>
    <w:basedOn w:val="DefaultParagraphFont"/>
    <w:rsid w:val="00191529"/>
    <w:rPr>
      <w:vertAlign w:val="superscript"/>
    </w:rPr>
  </w:style>
  <w:style w:type="character" w:styleId="CommentReference">
    <w:name w:val="annotation reference"/>
    <w:basedOn w:val="DefaultParagraphFont"/>
    <w:rsid w:val="00CB4B96"/>
    <w:rPr>
      <w:sz w:val="16"/>
      <w:szCs w:val="16"/>
    </w:rPr>
  </w:style>
  <w:style w:type="paragraph" w:styleId="CommentText">
    <w:name w:val="annotation text"/>
    <w:basedOn w:val="Normal"/>
    <w:link w:val="CommentTextChar"/>
    <w:rsid w:val="00CB4B96"/>
    <w:rPr>
      <w:sz w:val="20"/>
      <w:szCs w:val="20"/>
    </w:rPr>
  </w:style>
  <w:style w:type="character" w:customStyle="1" w:styleId="CommentTextChar">
    <w:name w:val="Comment Text Char"/>
    <w:basedOn w:val="DefaultParagraphFont"/>
    <w:link w:val="CommentText"/>
    <w:rsid w:val="00CB4B96"/>
    <w:rPr>
      <w:rFonts w:ascii="Arial" w:hAnsi="Arial" w:cs="Arial"/>
      <w:lang w:eastAsia="en-US"/>
    </w:rPr>
  </w:style>
  <w:style w:type="paragraph" w:styleId="CommentSubject">
    <w:name w:val="annotation subject"/>
    <w:basedOn w:val="CommentText"/>
    <w:next w:val="CommentText"/>
    <w:link w:val="CommentSubjectChar"/>
    <w:rsid w:val="00CB4B96"/>
    <w:rPr>
      <w:b/>
      <w:bCs/>
    </w:rPr>
  </w:style>
  <w:style w:type="character" w:customStyle="1" w:styleId="CommentSubjectChar">
    <w:name w:val="Comment Subject Char"/>
    <w:basedOn w:val="CommentTextChar"/>
    <w:link w:val="CommentSubject"/>
    <w:rsid w:val="00CB4B96"/>
    <w:rPr>
      <w:b/>
      <w:bCs/>
    </w:rPr>
  </w:style>
  <w:style w:type="paragraph" w:styleId="Revision">
    <w:name w:val="Revision"/>
    <w:hidden/>
    <w:uiPriority w:val="99"/>
    <w:semiHidden/>
    <w:rsid w:val="009F6600"/>
    <w:rPr>
      <w:rFonts w:ascii="Arial" w:hAnsi="Arial" w:cs="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262419189">
      <w:bodyDiv w:val="1"/>
      <w:marLeft w:val="0"/>
      <w:marRight w:val="0"/>
      <w:marTop w:val="0"/>
      <w:marBottom w:val="0"/>
      <w:divBdr>
        <w:top w:val="none" w:sz="0" w:space="0" w:color="auto"/>
        <w:left w:val="none" w:sz="0" w:space="0" w:color="auto"/>
        <w:bottom w:val="none" w:sz="0" w:space="0" w:color="auto"/>
        <w:right w:val="none" w:sz="0" w:space="0" w:color="auto"/>
      </w:divBdr>
    </w:div>
    <w:div w:id="845941541">
      <w:bodyDiv w:val="1"/>
      <w:marLeft w:val="0"/>
      <w:marRight w:val="0"/>
      <w:marTop w:val="0"/>
      <w:marBottom w:val="0"/>
      <w:divBdr>
        <w:top w:val="none" w:sz="0" w:space="0" w:color="auto"/>
        <w:left w:val="none" w:sz="0" w:space="0" w:color="auto"/>
        <w:bottom w:val="none" w:sz="0" w:space="0" w:color="auto"/>
        <w:right w:val="none" w:sz="0" w:space="0" w:color="auto"/>
      </w:divBdr>
    </w:div>
    <w:div w:id="1116219452">
      <w:bodyDiv w:val="1"/>
      <w:marLeft w:val="0"/>
      <w:marRight w:val="0"/>
      <w:marTop w:val="0"/>
      <w:marBottom w:val="0"/>
      <w:divBdr>
        <w:top w:val="none" w:sz="0" w:space="0" w:color="auto"/>
        <w:left w:val="none" w:sz="0" w:space="0" w:color="auto"/>
        <w:bottom w:val="none" w:sz="0" w:space="0" w:color="auto"/>
        <w:right w:val="none" w:sz="0" w:space="0" w:color="auto"/>
      </w:divBdr>
    </w:div>
    <w:div w:id="1918249674">
      <w:bodyDiv w:val="1"/>
      <w:marLeft w:val="0"/>
      <w:marRight w:val="0"/>
      <w:marTop w:val="0"/>
      <w:marBottom w:val="0"/>
      <w:divBdr>
        <w:top w:val="none" w:sz="0" w:space="0" w:color="auto"/>
        <w:left w:val="none" w:sz="0" w:space="0" w:color="auto"/>
        <w:bottom w:val="none" w:sz="0" w:space="0" w:color="auto"/>
        <w:right w:val="none" w:sz="0" w:space="0" w:color="auto"/>
      </w:divBdr>
    </w:div>
    <w:div w:id="20262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2CE6C-304F-4FFC-8CD0-B4E1DBA5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1839</Words>
  <Characters>9362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lorna.hull</dc:creator>
  <cp:keywords/>
  <dc:description/>
  <cp:lastModifiedBy>gordon.thomson</cp:lastModifiedBy>
  <cp:revision>2</cp:revision>
  <cp:lastPrinted>2014-01-29T15:10:00Z</cp:lastPrinted>
  <dcterms:created xsi:type="dcterms:W3CDTF">2014-02-07T11:24:00Z</dcterms:created>
  <dcterms:modified xsi:type="dcterms:W3CDTF">2014-02-07T11:24:00Z</dcterms:modified>
</cp:coreProperties>
</file>